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3F8" w:rsidRDefault="00B353F8" w:rsidP="00B353F8">
      <w:pPr>
        <w:jc w:val="both"/>
        <w:rPr>
          <w:rFonts w:ascii="Times New Roman" w:hAnsi="Times New Roman" w:cs="Times New Roman"/>
          <w:b/>
          <w:bCs/>
          <w:color w:val="7030A0"/>
          <w:sz w:val="24"/>
          <w:szCs w:val="24"/>
          <w:u w:val="single"/>
        </w:rPr>
      </w:pPr>
      <w:r>
        <w:rPr>
          <w:rFonts w:ascii="Times New Roman" w:hAnsi="Times New Roman" w:cs="Times New Roman"/>
          <w:b/>
          <w:bCs/>
          <w:color w:val="7030A0"/>
          <w:sz w:val="24"/>
          <w:szCs w:val="24"/>
          <w:u w:val="single"/>
        </w:rPr>
        <w:t>Минэкономразвития России подготовило поправки в ГК РФ в целях уточнения определения недвижимости</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22 февраля 2019</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 xml:space="preserve">В целях определенности в вопросах отнесения имущества к недвижимости Минэкономразвития России разработало законопроект "О внесении изменений в части первую и вторую Гражданского кодекса Российской Федерации в части совершенствования законодательства о недвижимом имуществе". Документ уже внесен в Правительство РФ. Информация содержится в </w:t>
      </w:r>
      <w:proofErr w:type="gramStart"/>
      <w:r>
        <w:rPr>
          <w:rFonts w:ascii="Times New Roman" w:hAnsi="Times New Roman" w:cs="Times New Roman"/>
          <w:sz w:val="24"/>
          <w:szCs w:val="24"/>
        </w:rPr>
        <w:t>письме</w:t>
      </w:r>
      <w:proofErr w:type="gramEnd"/>
      <w:r>
        <w:rPr>
          <w:rFonts w:ascii="Times New Roman" w:hAnsi="Times New Roman" w:cs="Times New Roman"/>
          <w:sz w:val="24"/>
          <w:szCs w:val="24"/>
        </w:rPr>
        <w:t xml:space="preserve"> ФНС России от 18 февраля 2019 г. № БС-4-21/2667@ "О рассмотрении запроса".</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Основными задачами документа являются:</w:t>
      </w:r>
    </w:p>
    <w:p w:rsidR="00B353F8" w:rsidRDefault="00B353F8" w:rsidP="00B353F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уточнение понятий объекта недвижимости, его увязка с иными понятиями, используем</w:t>
      </w:r>
      <w:bookmarkStart w:id="0" w:name="_GoBack"/>
      <w:bookmarkEnd w:id="0"/>
      <w:r>
        <w:rPr>
          <w:rFonts w:ascii="Times New Roman" w:eastAsia="Times New Roman" w:hAnsi="Times New Roman" w:cs="Times New Roman"/>
          <w:sz w:val="24"/>
          <w:szCs w:val="24"/>
        </w:rPr>
        <w:t>ыми в других отраслях законодательства: "объект капитального строительства", "строение", "здание", "сооружение";</w:t>
      </w:r>
    </w:p>
    <w:p w:rsidR="00B353F8" w:rsidRDefault="00B353F8" w:rsidP="00B353F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уточнение правового регулирования в </w:t>
      </w:r>
      <w:proofErr w:type="gramStart"/>
      <w:r>
        <w:rPr>
          <w:rFonts w:ascii="Times New Roman" w:eastAsia="Times New Roman" w:hAnsi="Times New Roman" w:cs="Times New Roman"/>
          <w:sz w:val="24"/>
          <w:szCs w:val="24"/>
        </w:rPr>
        <w:t>отношении</w:t>
      </w:r>
      <w:proofErr w:type="gramEnd"/>
      <w:r>
        <w:rPr>
          <w:rFonts w:ascii="Times New Roman" w:eastAsia="Times New Roman" w:hAnsi="Times New Roman" w:cs="Times New Roman"/>
          <w:sz w:val="24"/>
          <w:szCs w:val="24"/>
        </w:rPr>
        <w:t xml:space="preserve"> единого недвижимого комплекса, предприятия, сложной и неделимой вещи;</w:t>
      </w:r>
    </w:p>
    <w:p w:rsidR="00B353F8" w:rsidRDefault="00B353F8" w:rsidP="00B353F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установление порядка образования нового объекта недвижимости.</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В настоящее время возникают споры о квалификации объектов в качестве недвижимости, в том числе для целей налогообложения. Чаще всего это касается объектов, обладающих признаками сооружений: трансформаторная подстанция, тепловые сети, эстакада и другие.</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 xml:space="preserve">Для выявления оснований отнесения объекта к недвижимости необходимо исследовать сведения ЕГРН. При их отсутствии – прочную связь с землей и невозможность перемещения объекта без несоразмерного ущерба его назначению. </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Государственная регистрация права не является обязательным условием для признания вещи недвижимостью. Для отнесения объекта к недвижимости необходимо учитывать его природные свойства или указание федерального закона о подчинении вещи режиму недвижимости.</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Движимое имущество не признается объектом налогообложения по налогу на имущество организаций с 1 января 2019 года.</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ГАРАНТ</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 </w:t>
      </w:r>
      <w:hyperlink r:id="rId6" w:anchor="ixzz5gOV2rdKQ" w:history="1">
        <w:r>
          <w:rPr>
            <w:rStyle w:val="a3"/>
            <w:rFonts w:ascii="Times New Roman" w:hAnsi="Times New Roman" w:cs="Times New Roman"/>
            <w:sz w:val="24"/>
            <w:szCs w:val="24"/>
          </w:rPr>
          <w:t>http://www.garant.ru/news/1260301/#ixzz5gOV2rdKQ</w:t>
        </w:r>
      </w:hyperlink>
    </w:p>
    <w:p w:rsidR="00B353F8" w:rsidRDefault="00B353F8" w:rsidP="00B353F8">
      <w:pPr>
        <w:jc w:val="both"/>
        <w:rPr>
          <w:rFonts w:ascii="Times New Roman" w:hAnsi="Times New Roman" w:cs="Times New Roman"/>
          <w:sz w:val="24"/>
          <w:szCs w:val="24"/>
        </w:rPr>
      </w:pPr>
    </w:p>
    <w:p w:rsidR="00B353F8" w:rsidRDefault="00B353F8" w:rsidP="00B353F8">
      <w:pPr>
        <w:jc w:val="both"/>
        <w:rPr>
          <w:rFonts w:ascii="Times New Roman" w:hAnsi="Times New Roman" w:cs="Times New Roman"/>
          <w:b/>
          <w:bCs/>
          <w:color w:val="7030A0"/>
          <w:sz w:val="24"/>
          <w:szCs w:val="24"/>
          <w:u w:val="single"/>
        </w:rPr>
      </w:pPr>
      <w:r>
        <w:rPr>
          <w:rFonts w:ascii="Times New Roman" w:hAnsi="Times New Roman" w:cs="Times New Roman"/>
          <w:b/>
          <w:bCs/>
          <w:color w:val="7030A0"/>
          <w:sz w:val="24"/>
          <w:szCs w:val="24"/>
          <w:u w:val="single"/>
        </w:rPr>
        <w:t>Минздрав России предложил новую форму медицинской книжки</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22 февраля 2019</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Минздрав России подготовил проект приказа об утверждении новой формы личной медицинской книжки и порядка ее заполнения. В новой книжке будет отсутствовать раздел "Профессиональная гигиеническая подготовка и аттестация". Ранее выданные книжки замене не подлежат и действительны до полного заполнения всех страниц.</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 xml:space="preserve">Планируется актуализировать перечень категорий работников, которым выдается медицинская книжка. </w:t>
      </w:r>
      <w:proofErr w:type="gramStart"/>
      <w:r>
        <w:rPr>
          <w:rFonts w:ascii="Times New Roman" w:hAnsi="Times New Roman" w:cs="Times New Roman"/>
          <w:sz w:val="24"/>
          <w:szCs w:val="24"/>
        </w:rPr>
        <w:t>В соответствии с ныне действующим приказом Роспотребнадзора от 20 мая 2005 г. № 402 "О личной медицинской книжке и санитарном паспорте" медицинские книжки выдаются работникам отдельных профессий, производств и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roofErr w:type="gramEnd"/>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Предлагаемый порядок предусматривает выдачу медицинских книжек следующим категориям работников:</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 работникам организаций пищевой промышленности, молочных и раздаточных пунктов, баз и складов продовольственных товаров, имеющим контакт с пищевыми продуктами в процессе их производства, хранения, транспортировки на всех видах транспорта, реализации, а также при проведении санитарной обработки и ремонте инвентаря, оборудования;</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lastRenderedPageBreak/>
        <w:t>- работникам организаций общественного питания, торговли, буфетов, пищеблоков, в том числе на транспорте;</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 работникам образовательных организаций всех типов и видов, а также детских организаций, не осуществляющих образовательную деятельность (спортивные секции, творческие, досуговые детские организации и т. п.);</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 работникам детских и подростковых сезонных оздоровительных организаций;</w:t>
      </w:r>
    </w:p>
    <w:p w:rsidR="00B353F8" w:rsidRDefault="00B353F8" w:rsidP="00B353F8">
      <w:pPr>
        <w:jc w:val="both"/>
        <w:rPr>
          <w:rFonts w:ascii="Times New Roman" w:hAnsi="Times New Roman" w:cs="Times New Roman"/>
          <w:sz w:val="24"/>
          <w:szCs w:val="24"/>
        </w:rPr>
      </w:pPr>
      <w:proofErr w:type="gramStart"/>
      <w:r>
        <w:rPr>
          <w:rFonts w:ascii="Times New Roman" w:hAnsi="Times New Roman" w:cs="Times New Roman"/>
          <w:sz w:val="24"/>
          <w:szCs w:val="24"/>
        </w:rPr>
        <w:t>- работникам дошкольных образовательных организаций, домов ребенка, организаций для детей-сирот и детей, оставшихся без попечения родителей (лиц, их заменяющих), образовательных организаций интернатного типа, оздоровительных образовательных организаций, в том числе санаторного типа, детских санаториев, круглогодичных лагерей отдыха, а также организаций социального обслуживания, осуществляющих предоставление социальных услуг в стационарной форме социального обслуживания, полустационарной форме социального обслуживания, в форме социального обслуживания на дому;</w:t>
      </w:r>
      <w:proofErr w:type="gramEnd"/>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 работникам организаций бытового обслуживания (банщики, работники душевых, парикмахерских);</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 работникам бассейнов и водолечебниц;</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 работникам гостиниц, общежитий, пассажирских вагонов (проводники), стюардессам;</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 работникам организаций медицинской промышленности и аптечной сети, связанным с изготовлением, расфасовкой и реализацией лекарственных средств;</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 работникам водопроводных сооружений, связанным с подготовкой воды и обслуживанием водопроводных сетей;</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 работникам организаций по переработке молока и изготовлению молочных продуктов.</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ГАРАНТ</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 </w:t>
      </w:r>
      <w:hyperlink r:id="rId7" w:anchor="ixzz5gOoDtW00" w:history="1">
        <w:r>
          <w:rPr>
            <w:rStyle w:val="a3"/>
            <w:rFonts w:ascii="Times New Roman" w:hAnsi="Times New Roman" w:cs="Times New Roman"/>
            <w:sz w:val="24"/>
            <w:szCs w:val="24"/>
          </w:rPr>
          <w:t>http://www.garant.ru/news/1260133/#ixzz5gOoDtW00</w:t>
        </w:r>
      </w:hyperlink>
    </w:p>
    <w:p w:rsidR="00B353F8" w:rsidRDefault="00B353F8" w:rsidP="00B353F8">
      <w:pPr>
        <w:jc w:val="both"/>
        <w:rPr>
          <w:rFonts w:ascii="Times New Roman" w:hAnsi="Times New Roman" w:cs="Times New Roman"/>
          <w:sz w:val="24"/>
          <w:szCs w:val="24"/>
        </w:rPr>
      </w:pPr>
    </w:p>
    <w:p w:rsidR="00B353F8" w:rsidRDefault="00B353F8" w:rsidP="00B353F8">
      <w:pPr>
        <w:jc w:val="both"/>
        <w:rPr>
          <w:rFonts w:ascii="Times New Roman" w:hAnsi="Times New Roman" w:cs="Times New Roman"/>
          <w:b/>
          <w:bCs/>
          <w:color w:val="7030A0"/>
          <w:sz w:val="24"/>
          <w:szCs w:val="24"/>
          <w:u w:val="single"/>
        </w:rPr>
      </w:pPr>
      <w:r>
        <w:rPr>
          <w:rFonts w:ascii="Times New Roman" w:hAnsi="Times New Roman" w:cs="Times New Roman"/>
          <w:b/>
          <w:bCs/>
          <w:color w:val="7030A0"/>
          <w:sz w:val="24"/>
          <w:szCs w:val="24"/>
          <w:u w:val="single"/>
        </w:rPr>
        <w:t>До 25 марта организации и ИП, обязанные идентифицировать своих клиентов, должны обновить правила внутреннего контроля</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22 февраля 2019</w:t>
      </w:r>
    </w:p>
    <w:p w:rsidR="00B353F8" w:rsidRDefault="00B353F8" w:rsidP="00B353F8">
      <w:pPr>
        <w:jc w:val="both"/>
        <w:rPr>
          <w:rFonts w:ascii="Times New Roman" w:hAnsi="Times New Roman" w:cs="Times New Roman"/>
          <w:sz w:val="24"/>
          <w:szCs w:val="24"/>
        </w:rPr>
      </w:pPr>
      <w:proofErr w:type="gramStart"/>
      <w:r>
        <w:rPr>
          <w:rFonts w:ascii="Times New Roman" w:hAnsi="Times New Roman" w:cs="Times New Roman"/>
          <w:sz w:val="24"/>
          <w:szCs w:val="24"/>
        </w:rPr>
        <w:t>23 февраля 2019 года вступил в силу приказ Федеральной службы по финансовому мониторингу от 22 ноября 2018 г. № 366 (далее – Приказ № 366), которым утверждены новые правила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 (информационное сообщение Росфинмониторинга от 15</w:t>
      </w:r>
      <w:proofErr w:type="gramEnd"/>
      <w:r>
        <w:rPr>
          <w:rFonts w:ascii="Times New Roman" w:hAnsi="Times New Roman" w:cs="Times New Roman"/>
          <w:sz w:val="24"/>
          <w:szCs w:val="24"/>
        </w:rPr>
        <w:t xml:space="preserve"> февраля 2019 г.).</w:t>
      </w:r>
    </w:p>
    <w:p w:rsidR="00B353F8" w:rsidRDefault="00B353F8" w:rsidP="00B353F8">
      <w:pPr>
        <w:jc w:val="both"/>
        <w:rPr>
          <w:rFonts w:ascii="Times New Roman" w:hAnsi="Times New Roman" w:cs="Times New Roman"/>
          <w:sz w:val="24"/>
          <w:szCs w:val="24"/>
        </w:rPr>
      </w:pPr>
      <w:proofErr w:type="gramStart"/>
      <w:r>
        <w:rPr>
          <w:rFonts w:ascii="Times New Roman" w:hAnsi="Times New Roman" w:cs="Times New Roman"/>
          <w:sz w:val="24"/>
          <w:szCs w:val="24"/>
        </w:rPr>
        <w:t>Субъекты Федерального закона от 7 августа 2001 г. № 115-ФЗ "О противодействии легализации (отмыванию) доходов, полученных преступным путем, и финансированию терроризма", за исключением кредитных и некредитных финансовых организаций, поднадзорных Банку России, должны привести свои правила внутреннего контроля в соответствие с новыми требованиями не позднее месяца после даты вступления в силу Приказа № 366.</w:t>
      </w:r>
      <w:proofErr w:type="gramEnd"/>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В связи с этим Росфинмониторинг информирует о том, что указанным субъектам необходимо обновить правила внутреннего контроля не позднее 25 марта 2019 года и разместить обновленные правила в своих личных кабинетах на сайте Службы.</w:t>
      </w:r>
    </w:p>
    <w:p w:rsidR="00B353F8" w:rsidRDefault="00B353F8" w:rsidP="00B353F8">
      <w:pPr>
        <w:jc w:val="both"/>
        <w:rPr>
          <w:rFonts w:ascii="Times New Roman" w:hAnsi="Times New Roman" w:cs="Times New Roman"/>
          <w:sz w:val="24"/>
          <w:szCs w:val="24"/>
        </w:rPr>
      </w:pPr>
      <w:proofErr w:type="gramStart"/>
      <w:r>
        <w:rPr>
          <w:rFonts w:ascii="Times New Roman" w:hAnsi="Times New Roman" w:cs="Times New Roman"/>
          <w:sz w:val="24"/>
          <w:szCs w:val="24"/>
        </w:rPr>
        <w:t>Требования, предусмотренные Приказом № 366, должны выполнять многие организации, осуществляющие операции с денежными средствами или иным имуществом (лизинговые компании, организации, оказывающие посреднические услуги при осуществлении сделок купли-продажи недвижимого имущества, операторы по приему платежей и т. д.), а также – в ряде случаев – ИП, адвокаты, нотариусы и лица, осуществляющие предпринимательскую деятельность в сфере оказания юридических или бухгалтерских услуг.</w:t>
      </w:r>
      <w:proofErr w:type="gramEnd"/>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ГАРАНТ</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 </w:t>
      </w:r>
      <w:hyperlink r:id="rId8" w:anchor="ixzz5gOrGM6cH" w:history="1">
        <w:r>
          <w:rPr>
            <w:rStyle w:val="a3"/>
            <w:rFonts w:ascii="Times New Roman" w:hAnsi="Times New Roman" w:cs="Times New Roman"/>
            <w:sz w:val="24"/>
            <w:szCs w:val="24"/>
          </w:rPr>
          <w:t>http://www.garant.ru/news/1260130/#ixzz5gOrGM6cH</w:t>
        </w:r>
      </w:hyperlink>
    </w:p>
    <w:p w:rsidR="00B353F8" w:rsidRDefault="00B353F8" w:rsidP="00B353F8">
      <w:pPr>
        <w:jc w:val="both"/>
        <w:rPr>
          <w:rFonts w:ascii="Times New Roman" w:hAnsi="Times New Roman" w:cs="Times New Roman"/>
          <w:sz w:val="24"/>
          <w:szCs w:val="24"/>
        </w:rPr>
      </w:pPr>
    </w:p>
    <w:p w:rsidR="00B353F8" w:rsidRDefault="00B353F8" w:rsidP="00B353F8">
      <w:pPr>
        <w:jc w:val="both"/>
        <w:rPr>
          <w:rFonts w:ascii="Times New Roman" w:hAnsi="Times New Roman" w:cs="Times New Roman"/>
          <w:b/>
          <w:bCs/>
          <w:color w:val="7030A0"/>
          <w:sz w:val="24"/>
          <w:szCs w:val="24"/>
          <w:u w:val="single"/>
        </w:rPr>
      </w:pPr>
      <w:r>
        <w:rPr>
          <w:rFonts w:ascii="Times New Roman" w:hAnsi="Times New Roman" w:cs="Times New Roman"/>
          <w:b/>
          <w:bCs/>
          <w:color w:val="7030A0"/>
          <w:sz w:val="24"/>
          <w:szCs w:val="24"/>
          <w:u w:val="single"/>
        </w:rPr>
        <w:t>Не исключено, что водители грузовиков и автобусов не смогут находиться за рулем более девяти часов в сутки</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21 февраля 2019</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Минтранс России предлагает дополнить ПДД новым разделом, посвященным нормам времени управления транспортным средством и отдыха. Водители, управляющие грузовыми автомобилями, разрешенная максимальная масса которых больше 3,5 тонн, и автобусами, каждые 4,5 часа должны будут отдыхать не менее 45 минут. Ожидается, что этот перерыв можно будет разбить на две части, первая из которых составит не менее 15 минут, а вторая – не менее 30 минут.</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Также для указанной категории водителей может быть установлен и ряд ограничений по управлению транспортным средством в течение суток:</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 управление транспортным средством не более 9 часов с возможностью увеличения этого времени до 10 часов, но не более двух раз в течение календарной недели;</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 ежедневный отдых водителя от управления транспортным средством должен быть не менее 11 часов с возможным сокращением этого периода до 9 часов не более трех раз между двумя следующими друг за другом еженедельными временными промежутками для отдыха.</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 xml:space="preserve">Причем не исключено, что в течение календарной недели водители упомянутых грузовиков и автобусов смогут управлять транспортными средствами не более 56 часов, а еженедельный отдых водителя будет составлять не менее 24 часов, без учета ежедневного отдыха. Планируется ввести запрет на эксплуатацию грузовых автомобилей с разрешенной максимальной массой свыше 3,5 тонн и автобусов без тахографа,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его установка является обязательной. Публичное обсуждение и независимая антикоррупционная экспертиза документа завершатся 13 марта.</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ГАРАНТ</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 </w:t>
      </w:r>
      <w:hyperlink r:id="rId9" w:anchor="ixzz5gUL8QWrN" w:history="1">
        <w:r>
          <w:rPr>
            <w:rStyle w:val="a3"/>
            <w:rFonts w:ascii="Times New Roman" w:hAnsi="Times New Roman" w:cs="Times New Roman"/>
            <w:sz w:val="24"/>
            <w:szCs w:val="24"/>
          </w:rPr>
          <w:t>http://www.garant.ru/news/1259722/#ixzz5gUL8QWrN</w:t>
        </w:r>
      </w:hyperlink>
    </w:p>
    <w:p w:rsidR="00B353F8" w:rsidRDefault="00B353F8" w:rsidP="00B353F8">
      <w:pPr>
        <w:jc w:val="both"/>
      </w:pPr>
    </w:p>
    <w:p w:rsidR="00B353F8" w:rsidRDefault="00B353F8" w:rsidP="00B353F8">
      <w:pPr>
        <w:jc w:val="both"/>
        <w:rPr>
          <w:rFonts w:ascii="Times New Roman" w:hAnsi="Times New Roman" w:cs="Times New Roman"/>
          <w:b/>
          <w:bCs/>
          <w:color w:val="7030A0"/>
          <w:sz w:val="24"/>
          <w:szCs w:val="24"/>
          <w:u w:val="single"/>
        </w:rPr>
      </w:pPr>
      <w:r>
        <w:rPr>
          <w:rFonts w:ascii="Times New Roman" w:hAnsi="Times New Roman" w:cs="Times New Roman"/>
          <w:b/>
          <w:bCs/>
          <w:color w:val="7030A0"/>
          <w:sz w:val="24"/>
          <w:szCs w:val="24"/>
          <w:u w:val="single"/>
        </w:rPr>
        <w:t>С 1 июня 2020 года приставы не смогут взыскивать долги с социальных выплат</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21 февраля 2019</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 xml:space="preserve">Сегодня Президент РФ Владимир Путин подписал федеральный закон, ограничивающий списание пенсий, пособий и других социальных выплат в счет долгов приставам. </w:t>
      </w:r>
      <w:proofErr w:type="gramStart"/>
      <w:r>
        <w:rPr>
          <w:rFonts w:ascii="Times New Roman" w:hAnsi="Times New Roman" w:cs="Times New Roman"/>
          <w:sz w:val="24"/>
          <w:szCs w:val="24"/>
        </w:rPr>
        <w:t>Это выплаты гражданам, пострадавшим в результате ЧС, единовременной материальной или финансовой помощи в связи с утратой имущества первой необходимости или в качестве единовременного пособия членам семей граждан, погибших в результате ЧС, и гражданам, здоровью которых в результате ЧС причинен вред различной степени тяжести (Федеральный закон от 21 февраля 2019 г. № 12-ФЗ "О внесении изменений в Федеральный закон "Об исполнительном производстве</w:t>
      </w:r>
      <w:proofErr w:type="gramEnd"/>
      <w:r>
        <w:rPr>
          <w:rFonts w:ascii="Times New Roman" w:hAnsi="Times New Roman" w:cs="Times New Roman"/>
          <w:sz w:val="24"/>
          <w:szCs w:val="24"/>
        </w:rPr>
        <w:t>").</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 xml:space="preserve">Законом будет введена обязанность работодателей, выплачивающих гражданину зарплату и другие доходы, на которые не может быть обращено взыскание, указывать в расчетных </w:t>
      </w:r>
      <w:proofErr w:type="gramStart"/>
      <w:r>
        <w:rPr>
          <w:rFonts w:ascii="Times New Roman" w:hAnsi="Times New Roman" w:cs="Times New Roman"/>
          <w:sz w:val="24"/>
          <w:szCs w:val="24"/>
        </w:rPr>
        <w:t>документах</w:t>
      </w:r>
      <w:proofErr w:type="gramEnd"/>
      <w:r>
        <w:rPr>
          <w:rFonts w:ascii="Times New Roman" w:hAnsi="Times New Roman" w:cs="Times New Roman"/>
          <w:sz w:val="24"/>
          <w:szCs w:val="24"/>
        </w:rPr>
        <w:t xml:space="preserve"> необходимый код вида дохода. Соответствующий порядок предстоит определить Банку России.</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 xml:space="preserve">Судебные приставы получат право запрашивать у налоговых органов и банков любые сведения для своевременного и полного исполнения требований исполнительного документа. Документ вступит в силу 1 июня 2020 года. </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ГАРАНТ</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 </w:t>
      </w:r>
      <w:hyperlink r:id="rId10" w:anchor="ixzz5gWCrtAdA" w:history="1">
        <w:r>
          <w:rPr>
            <w:rStyle w:val="a3"/>
            <w:rFonts w:ascii="Times New Roman" w:hAnsi="Times New Roman" w:cs="Times New Roman"/>
            <w:sz w:val="24"/>
            <w:szCs w:val="24"/>
          </w:rPr>
          <w:t>http://www.garant.ru/news/1260095/#ixzz5gWCrtAdA</w:t>
        </w:r>
      </w:hyperlink>
    </w:p>
    <w:p w:rsidR="00B353F8" w:rsidRDefault="00B353F8" w:rsidP="00B353F8">
      <w:pPr>
        <w:jc w:val="both"/>
        <w:rPr>
          <w:rFonts w:ascii="Times New Roman" w:hAnsi="Times New Roman" w:cs="Times New Roman"/>
          <w:sz w:val="24"/>
          <w:szCs w:val="24"/>
        </w:rPr>
      </w:pPr>
    </w:p>
    <w:p w:rsidR="00B353F8" w:rsidRDefault="00B353F8" w:rsidP="00B353F8">
      <w:pPr>
        <w:jc w:val="both"/>
        <w:rPr>
          <w:rFonts w:ascii="Times New Roman" w:hAnsi="Times New Roman" w:cs="Times New Roman"/>
          <w:b/>
          <w:bCs/>
          <w:color w:val="7030A0"/>
          <w:sz w:val="24"/>
          <w:szCs w:val="24"/>
          <w:u w:val="single"/>
        </w:rPr>
      </w:pPr>
      <w:r>
        <w:rPr>
          <w:rFonts w:ascii="Times New Roman" w:hAnsi="Times New Roman" w:cs="Times New Roman"/>
          <w:b/>
          <w:bCs/>
          <w:color w:val="7030A0"/>
          <w:sz w:val="24"/>
          <w:szCs w:val="24"/>
          <w:u w:val="single"/>
        </w:rPr>
        <w:t>Доставка сотрудников к месту работы и обратно: взносы начисляем, НДФЛ удерживаем</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20 февраля 2019</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 xml:space="preserve">Минфин России считает, что Налоговый кодекс не содержит оснований для освобождения оплаты проезда к месту работы и обратно транспортом общего пользования, </w:t>
      </w:r>
      <w:r>
        <w:rPr>
          <w:rFonts w:ascii="Times New Roman" w:hAnsi="Times New Roman" w:cs="Times New Roman"/>
          <w:sz w:val="24"/>
          <w:szCs w:val="24"/>
        </w:rPr>
        <w:lastRenderedPageBreak/>
        <w:t>специальными маршрутами, ведомственным транспортом от страховых взносов и НДФЛ (письмо Минфина России от 18 января 2019 г. № 03-03-06/1/2093).</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 xml:space="preserve">В новом письме нет никаких оговорок, в том числе о персонификации подобных выплат, о невозможности добраться до работы на транспорте, о заинтересованности в указанных расходах работодателя, а не работника. Ранее такие обстоятельства рассматривались в </w:t>
      </w:r>
      <w:proofErr w:type="gramStart"/>
      <w:r>
        <w:rPr>
          <w:rFonts w:ascii="Times New Roman" w:hAnsi="Times New Roman" w:cs="Times New Roman"/>
          <w:sz w:val="24"/>
          <w:szCs w:val="24"/>
        </w:rPr>
        <w:t>разъяснениях</w:t>
      </w:r>
      <w:proofErr w:type="gramEnd"/>
      <w:r>
        <w:rPr>
          <w:rFonts w:ascii="Times New Roman" w:hAnsi="Times New Roman" w:cs="Times New Roman"/>
          <w:sz w:val="24"/>
          <w:szCs w:val="24"/>
        </w:rPr>
        <w:t xml:space="preserve"> Минфина России и судебных актах, как позволяющие избежать уплаты НДФЛ и взносов.</w:t>
      </w:r>
    </w:p>
    <w:p w:rsidR="00B353F8" w:rsidRDefault="00B353F8" w:rsidP="00B353F8">
      <w:pPr>
        <w:jc w:val="both"/>
        <w:rPr>
          <w:rFonts w:ascii="Times New Roman" w:hAnsi="Times New Roman" w:cs="Times New Roman"/>
          <w:sz w:val="24"/>
          <w:szCs w:val="24"/>
        </w:rPr>
      </w:pPr>
      <w:proofErr w:type="gramStart"/>
      <w:r>
        <w:rPr>
          <w:rFonts w:ascii="Times New Roman" w:hAnsi="Times New Roman" w:cs="Times New Roman"/>
          <w:sz w:val="24"/>
          <w:szCs w:val="24"/>
        </w:rPr>
        <w:t>По поводу учета расходов на доставку в целях налогообложения прибыли указано лишь, что обоснованность расходов, учитываемых при расчете налоговой базы, должна оцениваться с учетом обстоятельств, свидетельствующих о намерениях налогоплательщика получить экономический эффект в результате реальной предпринимательской или иной экономической деятельности.</w:t>
      </w:r>
      <w:proofErr w:type="gramEnd"/>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ГАРАНТ</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 </w:t>
      </w:r>
      <w:hyperlink r:id="rId11" w:anchor="ixzz5gU7zPVvc" w:history="1">
        <w:r>
          <w:rPr>
            <w:rStyle w:val="a3"/>
            <w:rFonts w:ascii="Times New Roman" w:hAnsi="Times New Roman" w:cs="Times New Roman"/>
            <w:sz w:val="24"/>
            <w:szCs w:val="24"/>
          </w:rPr>
          <w:t>http://www.garant.ru/news/1259608/#ixzz5gU7zPVvc</w:t>
        </w:r>
      </w:hyperlink>
    </w:p>
    <w:p w:rsidR="00B353F8" w:rsidRDefault="00B353F8" w:rsidP="00B353F8">
      <w:pPr>
        <w:jc w:val="both"/>
        <w:rPr>
          <w:rFonts w:ascii="Times New Roman" w:hAnsi="Times New Roman" w:cs="Times New Roman"/>
          <w:sz w:val="24"/>
          <w:szCs w:val="24"/>
        </w:rPr>
      </w:pPr>
    </w:p>
    <w:p w:rsidR="00B353F8" w:rsidRDefault="00B353F8" w:rsidP="00B353F8">
      <w:pPr>
        <w:jc w:val="both"/>
        <w:rPr>
          <w:rFonts w:ascii="Times New Roman" w:hAnsi="Times New Roman" w:cs="Times New Roman"/>
          <w:b/>
          <w:bCs/>
          <w:color w:val="7030A0"/>
          <w:sz w:val="24"/>
          <w:szCs w:val="24"/>
          <w:u w:val="single"/>
        </w:rPr>
      </w:pPr>
      <w:r>
        <w:rPr>
          <w:rFonts w:ascii="Times New Roman" w:hAnsi="Times New Roman" w:cs="Times New Roman"/>
          <w:b/>
          <w:bCs/>
          <w:color w:val="7030A0"/>
          <w:sz w:val="24"/>
          <w:szCs w:val="24"/>
          <w:u w:val="single"/>
        </w:rPr>
        <w:t xml:space="preserve">Налоговики не вправе отказать в </w:t>
      </w:r>
      <w:proofErr w:type="gramStart"/>
      <w:r>
        <w:rPr>
          <w:rFonts w:ascii="Times New Roman" w:hAnsi="Times New Roman" w:cs="Times New Roman"/>
          <w:b/>
          <w:bCs/>
          <w:color w:val="7030A0"/>
          <w:sz w:val="24"/>
          <w:szCs w:val="24"/>
          <w:u w:val="single"/>
        </w:rPr>
        <w:t>приеме</w:t>
      </w:r>
      <w:proofErr w:type="gramEnd"/>
      <w:r>
        <w:rPr>
          <w:rFonts w:ascii="Times New Roman" w:hAnsi="Times New Roman" w:cs="Times New Roman"/>
          <w:b/>
          <w:bCs/>
          <w:color w:val="7030A0"/>
          <w:sz w:val="24"/>
          <w:szCs w:val="24"/>
          <w:u w:val="single"/>
        </w:rPr>
        <w:t xml:space="preserve"> декларации из-за недостоверности сведений в ЕГРЮЛ о руководителе юрлица</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20 февраля 2019</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 xml:space="preserve">Соответствующий вывод содержится в </w:t>
      </w:r>
      <w:proofErr w:type="gramStart"/>
      <w:r>
        <w:rPr>
          <w:rFonts w:ascii="Times New Roman" w:hAnsi="Times New Roman" w:cs="Times New Roman"/>
          <w:sz w:val="24"/>
          <w:szCs w:val="24"/>
        </w:rPr>
        <w:t>постановлении</w:t>
      </w:r>
      <w:proofErr w:type="gramEnd"/>
      <w:r>
        <w:rPr>
          <w:rFonts w:ascii="Times New Roman" w:hAnsi="Times New Roman" w:cs="Times New Roman"/>
          <w:sz w:val="24"/>
          <w:szCs w:val="24"/>
        </w:rPr>
        <w:t xml:space="preserve"> Арбитражного суда Уральского округа от 17 января 2019 г. № Ф09-9102/18 по делу № А76-5771/2018. При этом на момент рассмотрения дела в суде информация о недостоверности сведений не оспаривалась налогоплательщиком и не исключена инспекцией из ЕГРЮЛ. В отношении физлица на дату представления декларации в ЕГРЮЛ имелись сведения о недостоверности данных о нем, как учредителе и лице, имеющем право без доверенности действовать от имени общества. В качестве дополнительного доказательства того, что физлицо не является директором общества, инспекция представила протокол его допроса.</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Налогоплательщик обратился в суд из-за отказа принять декларацию по НДС, так как посчитала, что она подписана электронной подписью лица, не являющегося руководителем организации. По мнению налоговиков, нарушаются положения п. 5 ст. 80 Налогового кодекса, так как декларация подписана неуполномоченным лицом. Инспекция указала на свое право проверять полномочия лица, подписавшего представленную декларацию по ТКС от имени налогоплательщика.</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Кассационный суд указал, что такие доводы инспекции не могут быть основанием для отказа в принятии декларации. Закрытый перечень оснований, по которым декларация может быть не принята, содержится в п. 28 Административного регламента, утв. приказом Минфина России от 2 июля 2012 г. № 99н. Но ни этим документом, ни НК РФ в целях принятия решения об отказе в приеме декларации не установлены такие полномочия, как оценка достоверности подписи лица на налоговой декларации, установление реальности исполнения обязанностей руководителем юрлица, иного лица, подписавшего декларацию. Установленные инспекцией обстоятельства можно учитывать при проведении проверки достоверности сведений, содержащихся в декларации.</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дела суд кассационный инстанции оставил постановление суда апелляционной инстанции в силе, а жалобу инспекции – без удовлетворения.</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ГАРАНТ</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 </w:t>
      </w:r>
      <w:hyperlink r:id="rId12" w:anchor="ixzz5gU9sVXqr" w:history="1">
        <w:r>
          <w:rPr>
            <w:rStyle w:val="a3"/>
            <w:rFonts w:ascii="Times New Roman" w:hAnsi="Times New Roman" w:cs="Times New Roman"/>
            <w:sz w:val="24"/>
            <w:szCs w:val="24"/>
          </w:rPr>
          <w:t>http://www.garant.ru/news/1259588/#ixzz5gU9sVXqr</w:t>
        </w:r>
      </w:hyperlink>
    </w:p>
    <w:p w:rsidR="00B353F8" w:rsidRDefault="00B353F8" w:rsidP="00B353F8">
      <w:pPr>
        <w:jc w:val="both"/>
        <w:rPr>
          <w:rFonts w:ascii="Times New Roman" w:hAnsi="Times New Roman" w:cs="Times New Roman"/>
          <w:sz w:val="24"/>
          <w:szCs w:val="24"/>
        </w:rPr>
      </w:pPr>
    </w:p>
    <w:p w:rsidR="00B353F8" w:rsidRDefault="00B353F8" w:rsidP="00B353F8">
      <w:pPr>
        <w:jc w:val="both"/>
        <w:rPr>
          <w:rFonts w:ascii="Times New Roman" w:hAnsi="Times New Roman" w:cs="Times New Roman"/>
          <w:b/>
          <w:bCs/>
          <w:color w:val="7030A0"/>
          <w:sz w:val="24"/>
          <w:szCs w:val="24"/>
          <w:u w:val="single"/>
        </w:rPr>
      </w:pPr>
      <w:r>
        <w:rPr>
          <w:rFonts w:ascii="Times New Roman" w:hAnsi="Times New Roman" w:cs="Times New Roman"/>
          <w:b/>
          <w:bCs/>
          <w:color w:val="7030A0"/>
          <w:sz w:val="24"/>
          <w:szCs w:val="24"/>
          <w:u w:val="single"/>
        </w:rPr>
        <w:t>Что будет, если опоздали с подтверждением основного вида деятельности в ФСС России?</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19 февраля 2019</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 xml:space="preserve">Тариф взносов в ФСС России по "травматизму" зависит от класса профессионального риска, соответствующего основному виду деятельности страхователя. Для его подтверждения организации должны ежегодно не позднее 15 апреля представлять документы в ФСС России. Если сведения не представлены в срок, при определении тарифа фонд может учесть вид деятельности из ЕГРЮЛ с наиболее высоким классом </w:t>
      </w:r>
      <w:r>
        <w:rPr>
          <w:rFonts w:ascii="Times New Roman" w:hAnsi="Times New Roman" w:cs="Times New Roman"/>
          <w:sz w:val="24"/>
          <w:szCs w:val="24"/>
        </w:rPr>
        <w:lastRenderedPageBreak/>
        <w:t>риска (постановление АС Волго-Вятского округа от 26 декабря 2018 г. по делу № А43-15392/2017).</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В сентябре прошлого года Верховный суд Российской Федерации сформулировал правило для ситуаций, когда документы поданы страхователем с просрочкой, но до установления ему размера тарифа (Определение Судебной коллегии по экономическим спорам ВС РФ от 11 сентября 2018 г. № 309-КГ18-7926). Позиция судей: фонд должен оценить эти документы и учесть их при определении размера тарифа.</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 xml:space="preserve">В судах продолжают рассматриваться дела, суть которых аналогична: при вынесении </w:t>
      </w:r>
      <w:proofErr w:type="gramStart"/>
      <w:r>
        <w:rPr>
          <w:rFonts w:ascii="Times New Roman" w:hAnsi="Times New Roman" w:cs="Times New Roman"/>
          <w:sz w:val="24"/>
          <w:szCs w:val="24"/>
        </w:rPr>
        <w:t>решения</w:t>
      </w:r>
      <w:proofErr w:type="gramEnd"/>
      <w:r>
        <w:rPr>
          <w:rFonts w:ascii="Times New Roman" w:hAnsi="Times New Roman" w:cs="Times New Roman"/>
          <w:sz w:val="24"/>
          <w:szCs w:val="24"/>
        </w:rPr>
        <w:t xml:space="preserve"> полученные с опозданием документы ФСС России к сведению не принял, обосновав это тем, что в установленный срок документы не поступили, а значит, страхователь не подтвердил свой основной вид деятельности. По очередному такому делу </w:t>
      </w:r>
      <w:proofErr w:type="gramStart"/>
      <w:r>
        <w:rPr>
          <w:rFonts w:ascii="Times New Roman" w:hAnsi="Times New Roman" w:cs="Times New Roman"/>
          <w:sz w:val="24"/>
          <w:szCs w:val="24"/>
        </w:rPr>
        <w:t>судьи</w:t>
      </w:r>
      <w:proofErr w:type="gramEnd"/>
      <w:r>
        <w:rPr>
          <w:rFonts w:ascii="Times New Roman" w:hAnsi="Times New Roman" w:cs="Times New Roman"/>
          <w:sz w:val="24"/>
          <w:szCs w:val="24"/>
        </w:rPr>
        <w:t xml:space="preserve"> трех инстанций в </w:t>
      </w:r>
      <w:proofErr w:type="gramStart"/>
      <w:r>
        <w:rPr>
          <w:rFonts w:ascii="Times New Roman" w:hAnsi="Times New Roman" w:cs="Times New Roman"/>
          <w:sz w:val="24"/>
          <w:szCs w:val="24"/>
        </w:rPr>
        <w:t>который</w:t>
      </w:r>
      <w:proofErr w:type="gramEnd"/>
      <w:r>
        <w:rPr>
          <w:rFonts w:ascii="Times New Roman" w:hAnsi="Times New Roman" w:cs="Times New Roman"/>
          <w:sz w:val="24"/>
          <w:szCs w:val="24"/>
        </w:rPr>
        <w:t xml:space="preserve"> раз указали, что документы, представленные с нарушением срока, но до направления страхователю уведомления об установлении тарифа, должны быть учтены фондом при вынесении решения.</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ГАРАНТ</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 </w:t>
      </w:r>
      <w:hyperlink r:id="rId13" w:anchor="ixzz5gUCiqNit" w:history="1">
        <w:r>
          <w:rPr>
            <w:rStyle w:val="a3"/>
            <w:rFonts w:ascii="Times New Roman" w:hAnsi="Times New Roman" w:cs="Times New Roman"/>
            <w:sz w:val="24"/>
            <w:szCs w:val="24"/>
          </w:rPr>
          <w:t>http://www.garant.ru/news/1259461/#ixzz5gUCiqNit</w:t>
        </w:r>
      </w:hyperlink>
    </w:p>
    <w:p w:rsidR="00B353F8" w:rsidRDefault="00B353F8" w:rsidP="00B353F8">
      <w:pPr>
        <w:jc w:val="both"/>
        <w:rPr>
          <w:rFonts w:ascii="Times New Roman" w:hAnsi="Times New Roman" w:cs="Times New Roman"/>
          <w:sz w:val="24"/>
          <w:szCs w:val="24"/>
        </w:rPr>
      </w:pPr>
    </w:p>
    <w:p w:rsidR="00B353F8" w:rsidRDefault="00B353F8" w:rsidP="00B353F8">
      <w:pPr>
        <w:jc w:val="both"/>
        <w:rPr>
          <w:rFonts w:ascii="Times New Roman" w:hAnsi="Times New Roman" w:cs="Times New Roman"/>
          <w:b/>
          <w:bCs/>
          <w:color w:val="7030A0"/>
          <w:sz w:val="24"/>
          <w:szCs w:val="24"/>
          <w:u w:val="single"/>
        </w:rPr>
      </w:pPr>
      <w:r>
        <w:rPr>
          <w:rFonts w:ascii="Times New Roman" w:hAnsi="Times New Roman" w:cs="Times New Roman"/>
          <w:b/>
          <w:bCs/>
          <w:color w:val="7030A0"/>
          <w:sz w:val="24"/>
          <w:szCs w:val="24"/>
          <w:u w:val="single"/>
        </w:rPr>
        <w:t>Наличие долга и незавершенные расчеты могут быть препятствиями для исключения юрлица из ЕГРЮЛ</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19 февраля 2019</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 xml:space="preserve">Соответствующие причины общество указало в </w:t>
      </w:r>
      <w:proofErr w:type="gramStart"/>
      <w:r>
        <w:rPr>
          <w:rFonts w:ascii="Times New Roman" w:hAnsi="Times New Roman" w:cs="Times New Roman"/>
          <w:sz w:val="24"/>
          <w:szCs w:val="24"/>
        </w:rPr>
        <w:t>заявлении</w:t>
      </w:r>
      <w:proofErr w:type="gramEnd"/>
      <w:r>
        <w:rPr>
          <w:rFonts w:ascii="Times New Roman" w:hAnsi="Times New Roman" w:cs="Times New Roman"/>
          <w:sz w:val="24"/>
          <w:szCs w:val="24"/>
        </w:rPr>
        <w:t xml:space="preserve"> против предстоящего исключения контрагента из ЕГРЮЛ и Верховный Суд Российской Федерации с ними согласился (Определение ВС РФ от 12 февраля 2019 г. № 304-КГ18-18451).</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Суды трех инстанций встали на сторону налоговиков, сославшись на то, что в заявлении не указано, какие именно права и законные интересы заявителя нарушены в результате исключения недействующего юрлица из ЕГРЮЛ. ВС РФ отметил, что у суда округа не было оснований оставлять без изменений решение суда первой инстанции и постановление апелляционного суда, так как суды при рассмотрении дела не исследовали приведенные обществом возражения и не дали им оценку. Суды не изучили вопрос, касающийся наличия доказательств нарушения прав и законных интересов заявителя.</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Заявление с возражениями о предстоящем исключении общества из ЕГРЮЛ должно быть мотивированным, оно направляется в срок не позднее трех месяцев со дня опубликования решения о предстоящем исключении юрлица из реестра (п. 3-4 ст. 21.1 Федерального закона от 8 августа 2001 г. № 129-ФЗ "О государственной регистрации юридических лиц и индивидуальных предпринимателей").</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ВС РФ отметил, что данный трехмесячный срок не является пресекательным. При этом заявление не предполагает документального обоснования. А срок, в который инспекция принимает решение об исключении из реестра недействующего юрлица, не установлен.</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дела ВС РФ направил дело на новое рассмотрение в суд первой инстанции.</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ГАРАНТ</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 </w:t>
      </w:r>
      <w:hyperlink r:id="rId14" w:anchor="ixzz5gUF8kzxY" w:history="1">
        <w:r>
          <w:rPr>
            <w:rStyle w:val="a3"/>
            <w:rFonts w:ascii="Times New Roman" w:hAnsi="Times New Roman" w:cs="Times New Roman"/>
            <w:sz w:val="24"/>
            <w:szCs w:val="24"/>
          </w:rPr>
          <w:t>http://www.garant.ru/news/1259428/#ixzz5gUF8kzxY</w:t>
        </w:r>
      </w:hyperlink>
    </w:p>
    <w:p w:rsidR="00B353F8" w:rsidRDefault="00B353F8" w:rsidP="00B353F8">
      <w:pPr>
        <w:jc w:val="both"/>
        <w:rPr>
          <w:rFonts w:ascii="Times New Roman" w:hAnsi="Times New Roman" w:cs="Times New Roman"/>
          <w:sz w:val="24"/>
          <w:szCs w:val="24"/>
        </w:rPr>
      </w:pPr>
    </w:p>
    <w:p w:rsidR="00B353F8" w:rsidRDefault="00B353F8" w:rsidP="00B353F8">
      <w:pPr>
        <w:jc w:val="both"/>
        <w:rPr>
          <w:rFonts w:ascii="Times New Roman" w:hAnsi="Times New Roman" w:cs="Times New Roman"/>
          <w:b/>
          <w:bCs/>
          <w:color w:val="7030A0"/>
          <w:sz w:val="24"/>
          <w:szCs w:val="24"/>
          <w:u w:val="single"/>
        </w:rPr>
      </w:pPr>
      <w:r>
        <w:rPr>
          <w:rFonts w:ascii="Times New Roman" w:hAnsi="Times New Roman" w:cs="Times New Roman"/>
          <w:b/>
          <w:bCs/>
          <w:color w:val="7030A0"/>
          <w:sz w:val="24"/>
          <w:szCs w:val="24"/>
          <w:u w:val="single"/>
        </w:rPr>
        <w:t>С 1 марта изменятся обязательные реквизиты и порядок заполнения путевых листов</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19 февраля 2019</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 xml:space="preserve">С 1 марта в обязательных реквизитах путевого листа в числе </w:t>
      </w: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ведений о транспортном средстве будут содержаться показания одометра при выезде транспортного средства с парковки, предназначенной для его стоянки по возвращении из рейса и окончании смены (рабочего дня) водителя транспортного средства. Еще в этих реквизитах будет отражаться дата (число, месяц, год) и время (часы, минуты) выезда транспортного средства с места парковки и его заезда на нее (приказ Минтранса России от 21 декабря 2018 г. № 467). </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 xml:space="preserve">Путевой лист будет оформляться до начала выполнения рейса, если длительность рейса водителя транспортного средства превышает продолжительность смены (рабочего дня), или до начала первого рейса, если в течение смены (рабочего </w:t>
      </w:r>
      <w:proofErr w:type="gramStart"/>
      <w:r>
        <w:rPr>
          <w:rFonts w:ascii="Times New Roman" w:hAnsi="Times New Roman" w:cs="Times New Roman"/>
          <w:sz w:val="24"/>
          <w:szCs w:val="24"/>
        </w:rPr>
        <w:t xml:space="preserve">дня) </w:t>
      </w:r>
      <w:proofErr w:type="gramEnd"/>
      <w:r>
        <w:rPr>
          <w:rFonts w:ascii="Times New Roman" w:hAnsi="Times New Roman" w:cs="Times New Roman"/>
          <w:sz w:val="24"/>
          <w:szCs w:val="24"/>
        </w:rPr>
        <w:t xml:space="preserve">водитель </w:t>
      </w:r>
      <w:r>
        <w:rPr>
          <w:rFonts w:ascii="Times New Roman" w:hAnsi="Times New Roman" w:cs="Times New Roman"/>
          <w:sz w:val="24"/>
          <w:szCs w:val="24"/>
        </w:rPr>
        <w:lastRenderedPageBreak/>
        <w:t>транспортного средства совершает один или несколько рейсов. В настоящий момент он оформляется на один день или срок, не превышающий одного месяца (п. 10 Обязательных реквизитов и порядка заполнения путевых листов). Если на одно транспортное средство станут оформлять несколько путевых листов раздельно на каждого водителя, то отметку о контроле техсостояния будут проставлять в путевом листе водителя, который первым выезжает с парковки. Документ вступил в силу 1 марта.</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 xml:space="preserve">С 21 декабря прошлого года юрлица и ИП, осуществляющие коммерческие перевозки и перевозки для собственных нужд, должны обеспечивать стоянку транспортных средств по возвращении из рейса и окончании смены водителя на парковках (ч. 2 ст. 20 Федерального закона от 10 декабря 1995 г. № 196-ФЗ "О безопасности дорожного движения"). </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ГАРАНТ</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 </w:t>
      </w:r>
      <w:hyperlink r:id="rId15" w:anchor="ixzz5gOuksNXG" w:history="1">
        <w:r>
          <w:rPr>
            <w:rStyle w:val="a3"/>
            <w:rFonts w:ascii="Times New Roman" w:hAnsi="Times New Roman" w:cs="Times New Roman"/>
            <w:sz w:val="24"/>
            <w:szCs w:val="24"/>
          </w:rPr>
          <w:t>http://www.garant.ru/news/1259566/#ixzz5gOuksNXG</w:t>
        </w:r>
      </w:hyperlink>
    </w:p>
    <w:p w:rsidR="00B353F8" w:rsidRDefault="00B353F8" w:rsidP="00B353F8">
      <w:pPr>
        <w:jc w:val="both"/>
        <w:rPr>
          <w:rFonts w:ascii="Times New Roman" w:hAnsi="Times New Roman" w:cs="Times New Roman"/>
          <w:sz w:val="24"/>
          <w:szCs w:val="24"/>
        </w:rPr>
      </w:pPr>
    </w:p>
    <w:p w:rsidR="00B353F8" w:rsidRDefault="00B353F8" w:rsidP="00B353F8">
      <w:pPr>
        <w:jc w:val="both"/>
        <w:rPr>
          <w:rFonts w:ascii="Times New Roman" w:hAnsi="Times New Roman" w:cs="Times New Roman"/>
          <w:b/>
          <w:bCs/>
          <w:color w:val="7030A0"/>
          <w:sz w:val="24"/>
          <w:szCs w:val="24"/>
          <w:u w:val="single"/>
        </w:rPr>
      </w:pPr>
      <w:r>
        <w:rPr>
          <w:rFonts w:ascii="Times New Roman" w:hAnsi="Times New Roman" w:cs="Times New Roman"/>
          <w:b/>
          <w:bCs/>
          <w:color w:val="7030A0"/>
          <w:sz w:val="24"/>
          <w:szCs w:val="24"/>
          <w:u w:val="single"/>
        </w:rPr>
        <w:t>Не исключено, что в день увольнения в связи с ликвидацией организации работникам будет выплачиваться двукратный среднемесячный заработок</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18 февраля 2019</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 xml:space="preserve">Минтруд России предлагает скорректировать положения Трудового кодекса о гарантиях при увольнении в связи с ликвидацией организации. В соответствии с разработанным министерством законопроектом при расторжении трудового договора в связи с ликвидацией организации увольняемому работнику будет выплачиваться выходное пособие в размере двукратного среднего заработка. В настоящий момент увольняемому по такому основанию сотруднику выплачивается выходное пособие в </w:t>
      </w:r>
      <w:proofErr w:type="gramStart"/>
      <w:r>
        <w:rPr>
          <w:rFonts w:ascii="Times New Roman" w:hAnsi="Times New Roman" w:cs="Times New Roman"/>
          <w:sz w:val="24"/>
          <w:szCs w:val="24"/>
        </w:rPr>
        <w:t>размере</w:t>
      </w:r>
      <w:proofErr w:type="gramEnd"/>
      <w:r>
        <w:rPr>
          <w:rFonts w:ascii="Times New Roman" w:hAnsi="Times New Roman" w:cs="Times New Roman"/>
          <w:sz w:val="24"/>
          <w:szCs w:val="24"/>
        </w:rPr>
        <w:t xml:space="preserve">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w:t>
      </w:r>
    </w:p>
    <w:p w:rsidR="00B353F8" w:rsidRDefault="00B353F8" w:rsidP="00B353F8">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может быть установлено правило, согласно которому в исключительных случаях средний месячный заработок будет сохраняться за уволенным работником в связи с ликвидацией организации, либо сокращением численности или штата работников организации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туда и не был им трудоустроен. </w:t>
      </w:r>
      <w:proofErr w:type="gramEnd"/>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В случае принятия поправки в ТК РФ вступят в силу по истечении 30 дней после дня официального опубликования соответствующего федерального закона.</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 xml:space="preserve">Планируется внести корреспондирующее дополнение в абз. 3 п. 1 ст. 64 Гражданского кодекса. В соответствии с ним при ликвидации юрлица после погашения текущих расходов, необходимых для осуществления ликвидации, во вторую очередь будут также производиться расчеты по выплате выходных пособий и оплате труда лиц, за которыми сохраняется средний месячный заработок на период трудоустройства в соответствии с действующим трудовым законодательством. Сейчас во вторую очередь соответствующие выплаты производятся работающим или работавшим по трудовому договору, и в нее же перечисляются вознаграждения авторам результатов интеллектуальной деятельности. </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Законопроекты были разработаны во исполнение Постановления Конституционного Суда Российской Федерации от 19 декабря 2018 года № 45-П. Указанным постановлением действующие положения ТК РФ о гарантиях при увольнении в связи с ликвидацией организации были признаны противоречащими Конституции РФ.</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Публичное обсуждение и независимая антикоррупционная экспертиза законопроектов завершатся 7 марта.</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ГАРАНТ</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 </w:t>
      </w:r>
      <w:hyperlink r:id="rId16" w:anchor="ixzz5gUId4ocH" w:history="1">
        <w:r>
          <w:rPr>
            <w:rStyle w:val="a3"/>
            <w:rFonts w:ascii="Times New Roman" w:hAnsi="Times New Roman" w:cs="Times New Roman"/>
            <w:sz w:val="24"/>
            <w:szCs w:val="24"/>
          </w:rPr>
          <w:t>http://www.garant.ru/news/1259223/#ixzz5gUId4ocH</w:t>
        </w:r>
      </w:hyperlink>
    </w:p>
    <w:p w:rsidR="00B353F8" w:rsidRDefault="00B353F8" w:rsidP="00B353F8">
      <w:pPr>
        <w:jc w:val="both"/>
        <w:rPr>
          <w:rFonts w:ascii="Times New Roman" w:hAnsi="Times New Roman" w:cs="Times New Roman"/>
          <w:sz w:val="24"/>
          <w:szCs w:val="24"/>
        </w:rPr>
      </w:pPr>
    </w:p>
    <w:p w:rsidR="00B353F8" w:rsidRDefault="00B353F8" w:rsidP="00B353F8">
      <w:pPr>
        <w:jc w:val="both"/>
        <w:rPr>
          <w:rFonts w:ascii="Times New Roman" w:hAnsi="Times New Roman" w:cs="Times New Roman"/>
          <w:b/>
          <w:bCs/>
          <w:color w:val="7030A0"/>
          <w:sz w:val="24"/>
          <w:szCs w:val="24"/>
          <w:u w:val="single"/>
        </w:rPr>
      </w:pPr>
      <w:r>
        <w:rPr>
          <w:rFonts w:ascii="Times New Roman" w:hAnsi="Times New Roman" w:cs="Times New Roman"/>
          <w:b/>
          <w:bCs/>
          <w:color w:val="7030A0"/>
          <w:sz w:val="24"/>
          <w:szCs w:val="24"/>
          <w:u w:val="single"/>
        </w:rPr>
        <w:t xml:space="preserve">ФСС России требует сокращать </w:t>
      </w:r>
      <w:proofErr w:type="gramStart"/>
      <w:r>
        <w:rPr>
          <w:rFonts w:ascii="Times New Roman" w:hAnsi="Times New Roman" w:cs="Times New Roman"/>
          <w:b/>
          <w:bCs/>
          <w:color w:val="7030A0"/>
          <w:sz w:val="24"/>
          <w:szCs w:val="24"/>
          <w:u w:val="single"/>
        </w:rPr>
        <w:t>рабочее</w:t>
      </w:r>
      <w:proofErr w:type="gramEnd"/>
      <w:r>
        <w:rPr>
          <w:rFonts w:ascii="Times New Roman" w:hAnsi="Times New Roman" w:cs="Times New Roman"/>
          <w:b/>
          <w:bCs/>
          <w:color w:val="7030A0"/>
          <w:sz w:val="24"/>
          <w:szCs w:val="24"/>
          <w:u w:val="single"/>
        </w:rPr>
        <w:t xml:space="preserve"> время для сохранения пособия по уходу за ребенком более чем вполовину</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18 февраля 2019</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Статья 256 Трудового кодекса предоставляет право во время нахождения в отпуске по уходу за ребенком работать на условиях неполного рабочего времени с сохранением права на получение пособия по государственному социальному страхованию. Закон не устанавливает максимальной продолжительности неполного рабочего времени, при которой за работником сохраняется право на ежемесячное пособие. </w:t>
      </w:r>
      <w:proofErr w:type="gramStart"/>
      <w:r>
        <w:rPr>
          <w:rFonts w:ascii="Times New Roman" w:hAnsi="Times New Roman" w:cs="Times New Roman"/>
          <w:sz w:val="24"/>
          <w:szCs w:val="24"/>
        </w:rPr>
        <w:t>В связи с этим вопрос о минимально допустимом сокращении рабочего времени с целью сохранения права на пособие</w:t>
      </w:r>
      <w:proofErr w:type="gramEnd"/>
      <w:r>
        <w:rPr>
          <w:rFonts w:ascii="Times New Roman" w:hAnsi="Times New Roman" w:cs="Times New Roman"/>
          <w:sz w:val="24"/>
          <w:szCs w:val="24"/>
        </w:rPr>
        <w:t xml:space="preserve"> по уходу за ребенком, вызывает многочисленные споры (информация по вопросу сохранения права на получение ежемесячного пособия по уходу за ребенком в случае выхода на работу на условиях неполного рабочего времени).</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Вологодское отделение ФСС России сформулировало, пожалуй, самый жесткий за последнее время подход к решению данного вопроса. В подготовленной специалистами отделения информации указывается, что большая часть времени лица, находящегося в отпуске по уходу за ребенком и работающего на условиях неполного рабочего времени, должна быть посвящена уходу за этим ребенком, а не трудовой деятельности. Таким образом, для сохранения права работника на получение ежемесячного пособия по уходу за ребенком время ухода за ним должно занимать большую часть рабочего времени, что предполагает его соответствующее сокращение по сравнению с установленной нормальной продолжительностью.</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В арбитражной практике последних лет уже достаточно примеров, когда суды признавали противоправной выплату работникам пособия за счет средств ФСС России при условии незначительного (от нескольких минут до часа в неделю) сокращения продолжительности их рабочего времени.</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 xml:space="preserve">Чем более значительным является сокращение рабочего времени, тем более спорным становится вопрос о том, достаточно ли его для сохранения пособия. ФСС России в письме от 19 января 2018 г. № 02-08-01/17-04-13832л отмечает, что сокращение рабочего времени в том числе и на 1 час в день не может расцениваться как мера, позволяющая продолжать осуществлять уход за ребенком, повлекшая утрату заработка. </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 xml:space="preserve">Есть мнение, что неполное рабочее время работника, находящегося в </w:t>
      </w:r>
      <w:proofErr w:type="gramStart"/>
      <w:r>
        <w:rPr>
          <w:rFonts w:ascii="Times New Roman" w:hAnsi="Times New Roman" w:cs="Times New Roman"/>
          <w:sz w:val="24"/>
          <w:szCs w:val="24"/>
        </w:rPr>
        <w:t>отпуске</w:t>
      </w:r>
      <w:proofErr w:type="gramEnd"/>
      <w:r>
        <w:rPr>
          <w:rFonts w:ascii="Times New Roman" w:hAnsi="Times New Roman" w:cs="Times New Roman"/>
          <w:sz w:val="24"/>
          <w:szCs w:val="24"/>
        </w:rPr>
        <w:t xml:space="preserve"> по уходу за ребенком, не может превышать 60% нормы. Данная позиция, очевидно, основывается на том, что пособие по уходу за ребенком компенсирует работнику утрату 40% его среднего заработка. Выходя на работу на условиях неполного рабочего времени, работник не должен получать более 60% своего обычного заработка, иначе выплата пособия приобретает характер уже не компенсации утраченного в связи с необходимостью осуществления ухода за ребенком заработка, а дополнительного материального стимулирования. </w:t>
      </w:r>
      <w:proofErr w:type="gramStart"/>
      <w:r>
        <w:rPr>
          <w:rFonts w:ascii="Times New Roman" w:hAnsi="Times New Roman" w:cs="Times New Roman"/>
          <w:sz w:val="24"/>
          <w:szCs w:val="24"/>
        </w:rPr>
        <w:t>Некоторые суды при оценке правомерности сохранения за работником пособия по уходу за ребенком после его выхода на работу на неполный день также пользуются методикой сравнения утраченного работником в связи с установлением неполного рабочего времени заработка с размером пособия.</w:t>
      </w:r>
      <w:proofErr w:type="gramEnd"/>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ГАРАНТ</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 </w:t>
      </w:r>
      <w:hyperlink r:id="rId17" w:anchor="ixzz5gTZmyAzG" w:history="1">
        <w:r>
          <w:rPr>
            <w:rStyle w:val="a3"/>
            <w:rFonts w:ascii="Times New Roman" w:hAnsi="Times New Roman" w:cs="Times New Roman"/>
            <w:sz w:val="24"/>
            <w:szCs w:val="24"/>
          </w:rPr>
          <w:t>http://www.garant.ru/news/1259383/#ixzz5gTZmyAzG</w:t>
        </w:r>
      </w:hyperlink>
    </w:p>
    <w:p w:rsidR="00B353F8" w:rsidRDefault="00B353F8" w:rsidP="00B353F8">
      <w:pPr>
        <w:jc w:val="both"/>
        <w:rPr>
          <w:rFonts w:ascii="Times New Roman" w:hAnsi="Times New Roman" w:cs="Times New Roman"/>
          <w:sz w:val="24"/>
          <w:szCs w:val="24"/>
        </w:rPr>
      </w:pPr>
    </w:p>
    <w:p w:rsidR="00B353F8" w:rsidRDefault="00B353F8" w:rsidP="00B353F8">
      <w:pPr>
        <w:jc w:val="both"/>
        <w:rPr>
          <w:rFonts w:ascii="Times New Roman" w:hAnsi="Times New Roman" w:cs="Times New Roman"/>
          <w:b/>
          <w:bCs/>
          <w:color w:val="7030A0"/>
          <w:sz w:val="24"/>
          <w:szCs w:val="24"/>
          <w:u w:val="single"/>
        </w:rPr>
      </w:pPr>
      <w:r>
        <w:rPr>
          <w:rFonts w:ascii="Times New Roman" w:hAnsi="Times New Roman" w:cs="Times New Roman"/>
          <w:b/>
          <w:bCs/>
          <w:color w:val="7030A0"/>
          <w:sz w:val="24"/>
          <w:szCs w:val="24"/>
          <w:u w:val="single"/>
        </w:rPr>
        <w:t>ФНП разъяснила нотариусам, как применять нововведения, касающиеся подачи документов для госрегистрации прав в Росреестр</w:t>
      </w:r>
    </w:p>
    <w:p w:rsidR="00B353F8" w:rsidRDefault="00B353F8" w:rsidP="00B353F8">
      <w:pPr>
        <w:jc w:val="both"/>
        <w:rPr>
          <w:rFonts w:ascii="Times New Roman" w:hAnsi="Times New Roman" w:cs="Times New Roman"/>
          <w:b/>
          <w:bCs/>
          <w:color w:val="7030A0"/>
          <w:sz w:val="24"/>
          <w:szCs w:val="24"/>
          <w:u w:val="single"/>
        </w:rPr>
      </w:pPr>
      <w:r>
        <w:rPr>
          <w:rFonts w:ascii="Times New Roman" w:hAnsi="Times New Roman" w:cs="Times New Roman"/>
          <w:b/>
          <w:bCs/>
          <w:color w:val="7030A0"/>
          <w:sz w:val="24"/>
          <w:szCs w:val="24"/>
          <w:u w:val="single"/>
        </w:rPr>
        <w:t>18 февраля 2019</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Федеральная нотариальная палата высказала свою позицию по ряду вопросов, касающихся обязанности нотариуса представлять в электронной форме заявления о государственной регистрации прав и прилагаемые к нему документы в Росреестр. Изменения в Основы законодательства Российской Федерации о нотариате от 11 февраля 1993 г. № 4462-I (далее–Основы законодательства о нотариате) вступили в силу 1 февраля 2019 года (Федеральный закон от 3 августа 2018 г. № 338-ФЗ).</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 xml:space="preserve">Из содержащихся в </w:t>
      </w:r>
      <w:proofErr w:type="gramStart"/>
      <w:r>
        <w:rPr>
          <w:rFonts w:ascii="Times New Roman" w:hAnsi="Times New Roman" w:cs="Times New Roman"/>
          <w:sz w:val="24"/>
          <w:szCs w:val="24"/>
        </w:rPr>
        <w:t>письме</w:t>
      </w:r>
      <w:proofErr w:type="gramEnd"/>
      <w:r>
        <w:rPr>
          <w:rFonts w:ascii="Times New Roman" w:hAnsi="Times New Roman" w:cs="Times New Roman"/>
          <w:sz w:val="24"/>
          <w:szCs w:val="24"/>
        </w:rPr>
        <w:t xml:space="preserve"> разъяснений:</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С 1 февраля 2019 года после удостоверения договора, на основании которого возникает право на недвижимое имущество (долю в праве собственности на недвижимое </w:t>
      </w:r>
      <w:r>
        <w:rPr>
          <w:rFonts w:ascii="Times New Roman" w:hAnsi="Times New Roman" w:cs="Times New Roman"/>
          <w:sz w:val="24"/>
          <w:szCs w:val="24"/>
        </w:rPr>
        <w:lastRenderedPageBreak/>
        <w:t>имущество), подлежащее государственной регистрации, нотариус обязан незамедлительно, но не позднее окончания рабочего дня или в сроки, установленные сторонами в договоре, представить в электронной форме заявление о государственной регистрации прав и прилагаемые к нему документы в Росреестр, если стороны</w:t>
      </w:r>
      <w:proofErr w:type="gramEnd"/>
      <w:r>
        <w:rPr>
          <w:rFonts w:ascii="Times New Roman" w:hAnsi="Times New Roman" w:cs="Times New Roman"/>
          <w:sz w:val="24"/>
          <w:szCs w:val="24"/>
        </w:rPr>
        <w:t xml:space="preserve"> сделки не возражают против подачи такого заявления нотариусом.</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 xml:space="preserve">При этом законодательством не определены требования к способам фиксирования возражений сторон сделки на представление нотариусом документов в орган регистрации прав. </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2. К договорам, на основании которых возникает право на недвижимое имущество, относятся, в частности, договоры купли-продажи, дарения, залога недвижимого имущества (ипотеки).</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Вместе с тем нотариус вправе по просьбе обратившихся к нему лиц направить документы на государственную регистрацию прав и при удостоверении иных видов договоров, например, брачного договора, соглашения о разделе совместно нажитого имущества супругов.</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Направление документов на госрегистрацию прав не является обязанностью нотариуса и не является самостоятельным нотариальным действием.</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А вот представление в электронной форме заявления о государственной регистрации прав и прилагаемых к нему документов в Росреестр после выдачи свидетельств о праве на наследство по закону, по завещанию, о праве собственности на долю в общем имуществе супругов (незамедлительно, но не позднее окончания рабочего дня) – это исключительная обязанность нотариуса (абз. 3 ст. 72 Основ законодательства о нотариате).</w:t>
      </w:r>
      <w:proofErr w:type="gramEnd"/>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После выдачи указанных свидетельств у лиц, обратившихся за совершением таких нотариальных действий, нет возможности самостоятельно подать документы на государственную регистрацию прав.</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4. Закон устанавливает приоритетность направления нотариусом необходимых документов в орган регистрации прав в электронной форме и лишь при невозможности их направления в такой форме устанавливает дополнительное полномочие нотариуса по представлению их в Росреестр на бумаге (по общему правилу в срок не позднее 2 рабочих дней).</w:t>
      </w:r>
    </w:p>
    <w:p w:rsidR="00B353F8" w:rsidRDefault="00B353F8" w:rsidP="00B353F8">
      <w:pPr>
        <w:jc w:val="both"/>
        <w:rPr>
          <w:rFonts w:ascii="Times New Roman" w:hAnsi="Times New Roman" w:cs="Times New Roman"/>
          <w:sz w:val="24"/>
          <w:szCs w:val="24"/>
        </w:rPr>
      </w:pPr>
      <w:r>
        <w:rPr>
          <w:rFonts w:ascii="Times New Roman" w:hAnsi="Times New Roman" w:cs="Times New Roman"/>
          <w:sz w:val="24"/>
          <w:szCs w:val="24"/>
        </w:rPr>
        <w:t>ГАРАНТ</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 </w:t>
      </w:r>
      <w:hyperlink r:id="rId18" w:anchor="ixzz5gTybyHRY" w:history="1">
        <w:r>
          <w:rPr>
            <w:rStyle w:val="a3"/>
            <w:rFonts w:ascii="Times New Roman" w:hAnsi="Times New Roman" w:cs="Times New Roman"/>
            <w:sz w:val="24"/>
            <w:szCs w:val="24"/>
          </w:rPr>
          <w:t>http://www.garant.ru/news/1259291/#ixzz5gTybyHRY</w:t>
        </w:r>
      </w:hyperlink>
    </w:p>
    <w:p w:rsidR="00B353F8" w:rsidRDefault="00B353F8" w:rsidP="00B353F8">
      <w:pPr>
        <w:jc w:val="both"/>
        <w:rPr>
          <w:rFonts w:ascii="Times New Roman" w:hAnsi="Times New Roman" w:cs="Times New Roman"/>
          <w:sz w:val="24"/>
          <w:szCs w:val="24"/>
        </w:rPr>
      </w:pPr>
    </w:p>
    <w:p w:rsidR="00B353F8" w:rsidRDefault="00B353F8" w:rsidP="00B353F8">
      <w:pPr>
        <w:jc w:val="both"/>
        <w:rPr>
          <w:rFonts w:ascii="Times New Roman" w:hAnsi="Times New Roman" w:cs="Times New Roman"/>
          <w:sz w:val="24"/>
          <w:szCs w:val="24"/>
        </w:rPr>
      </w:pPr>
    </w:p>
    <w:p w:rsidR="00B353F8" w:rsidRDefault="00B353F8" w:rsidP="00B353F8">
      <w:pPr>
        <w:jc w:val="both"/>
        <w:rPr>
          <w:rFonts w:ascii="Times New Roman" w:hAnsi="Times New Roman" w:cs="Times New Roman"/>
          <w:sz w:val="24"/>
          <w:szCs w:val="24"/>
        </w:rPr>
      </w:pPr>
    </w:p>
    <w:p w:rsidR="00B353F8" w:rsidRDefault="00B353F8" w:rsidP="00B353F8">
      <w:pPr>
        <w:jc w:val="both"/>
        <w:rPr>
          <w:rFonts w:ascii="Times New Roman" w:hAnsi="Times New Roman" w:cs="Times New Roman"/>
          <w:sz w:val="24"/>
          <w:szCs w:val="24"/>
        </w:rPr>
      </w:pPr>
    </w:p>
    <w:p w:rsidR="00B353F8" w:rsidRDefault="00B353F8" w:rsidP="00B353F8">
      <w:pPr>
        <w:jc w:val="both"/>
        <w:rPr>
          <w:rFonts w:ascii="Times New Roman" w:hAnsi="Times New Roman" w:cs="Times New Roman"/>
          <w:sz w:val="24"/>
          <w:szCs w:val="24"/>
        </w:rPr>
      </w:pPr>
    </w:p>
    <w:p w:rsidR="00B353F8" w:rsidRDefault="00B353F8" w:rsidP="00B353F8">
      <w:pPr>
        <w:jc w:val="both"/>
        <w:rPr>
          <w:rFonts w:ascii="Times New Roman" w:hAnsi="Times New Roman" w:cs="Times New Roman"/>
          <w:sz w:val="24"/>
          <w:szCs w:val="24"/>
        </w:rPr>
      </w:pPr>
    </w:p>
    <w:p w:rsidR="00B353F8" w:rsidRDefault="00B353F8" w:rsidP="00B353F8">
      <w:pPr>
        <w:jc w:val="both"/>
        <w:rPr>
          <w:rFonts w:ascii="Times New Roman" w:hAnsi="Times New Roman" w:cs="Times New Roman"/>
          <w:sz w:val="24"/>
          <w:szCs w:val="24"/>
        </w:rPr>
      </w:pPr>
    </w:p>
    <w:p w:rsidR="001801B6" w:rsidRDefault="001801B6"/>
    <w:sectPr w:rsidR="001801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913DD"/>
    <w:multiLevelType w:val="multilevel"/>
    <w:tmpl w:val="6ECABC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F8"/>
    <w:rsid w:val="001801B6"/>
    <w:rsid w:val="00B35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3F8"/>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53F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3F8"/>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53F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9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news/1260130/" TargetMode="External"/><Relationship Id="rId13" Type="http://schemas.openxmlformats.org/officeDocument/2006/relationships/hyperlink" Target="http://www.garant.ru/news/1259461/" TargetMode="External"/><Relationship Id="rId18" Type="http://schemas.openxmlformats.org/officeDocument/2006/relationships/hyperlink" Target="http://www.garant.ru/news/1259291/" TargetMode="External"/><Relationship Id="rId3" Type="http://schemas.microsoft.com/office/2007/relationships/stylesWithEffects" Target="stylesWithEffects.xml"/><Relationship Id="rId7" Type="http://schemas.openxmlformats.org/officeDocument/2006/relationships/hyperlink" Target="http://www.garant.ru/news/1260133/" TargetMode="External"/><Relationship Id="rId12" Type="http://schemas.openxmlformats.org/officeDocument/2006/relationships/hyperlink" Target="http://www.garant.ru/news/1259588/" TargetMode="External"/><Relationship Id="rId17" Type="http://schemas.openxmlformats.org/officeDocument/2006/relationships/hyperlink" Target="http://www.garant.ru/news/1259383/" TargetMode="External"/><Relationship Id="rId2" Type="http://schemas.openxmlformats.org/officeDocument/2006/relationships/styles" Target="styles.xml"/><Relationship Id="rId16" Type="http://schemas.openxmlformats.org/officeDocument/2006/relationships/hyperlink" Target="http://www.garant.ru/news/125922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arant.ru/news/1260301/" TargetMode="External"/><Relationship Id="rId11" Type="http://schemas.openxmlformats.org/officeDocument/2006/relationships/hyperlink" Target="http://www.garant.ru/news/1259608/" TargetMode="External"/><Relationship Id="rId5" Type="http://schemas.openxmlformats.org/officeDocument/2006/relationships/webSettings" Target="webSettings.xml"/><Relationship Id="rId15" Type="http://schemas.openxmlformats.org/officeDocument/2006/relationships/hyperlink" Target="http://www.garant.ru/news/1259566/" TargetMode="External"/><Relationship Id="rId10" Type="http://schemas.openxmlformats.org/officeDocument/2006/relationships/hyperlink" Target="http://www.garant.ru/news/126009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rant.ru/news/1259722/" TargetMode="External"/><Relationship Id="rId14" Type="http://schemas.openxmlformats.org/officeDocument/2006/relationships/hyperlink" Target="http://www.garant.ru/news/12594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4038</Words>
  <Characters>23020</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Волхонская</dc:creator>
  <cp:lastModifiedBy>Волхонская</cp:lastModifiedBy>
  <cp:revision>1</cp:revision>
  <dcterms:created xsi:type="dcterms:W3CDTF">2019-02-25T07:13:00Z</dcterms:created>
  <dcterms:modified xsi:type="dcterms:W3CDTF">2019-02-25T07:13:00Z</dcterms:modified>
</cp:coreProperties>
</file>