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C8" w:rsidRDefault="009454C8" w:rsidP="009454C8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Правительство поддерживает законопроект об уточнении срока оплаты обязательств по договорам в рамках Закона № 223-ФЗ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мая 2019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Правительство поддерживает законопроект об уточнении срока оплаты обязательств по договорам в рамках Закона № 223-ФЗ 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Законодательной инициативой предусмотрен единый для всех контрактов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18 июля 2011 г. № 223-ФЗ "О закупках товаров, работ, услуг отдельными видами юридических лиц" (далее – Закон  № 223-ФЗ) 30-дневный срок для оплаты обязательств. Согласно проекту этот срок исчисляется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заказчиком документа о приемке товара, выполнения работы или оказания услуги по договору.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Правительство РФ концептуально поддерживает законопроект, но считает необходимым его доработать. Так, с учетом широкого перечня предметов закупки товаров, работ, услуг, осуществляемых по Закону № 223-ФЗ, оно считает невозможным установление императивного срока оплаты во всех случаях, а не только в отношении договоров, заключенных с субъектами малого и среднего предпринимательства, как это предусмотрено сегодня.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Более удачный вариант корректировок - в закреплении в Законе № 223-ФЗ нормы об оплате заказчиком товара, работы, услуги в срок не более 30 дней со дня подписания им документа о приемке по договору (отдельному этапу договора), заключенному по результатам закупки с субъектами МСП, а также с другими лицами, в случае если иное не установлено положением о закупке.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 этом рекомендуется предусмотреть обязанность заказчика устанавливать в положении о закупке перечень товаров, работ, услуг, при закупке которых будут применяться иные сроки оплаты, или порядок их исчисления. 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У: </w:t>
      </w:r>
      <w:hyperlink r:id="rId5" w:anchor="ixzz5oPD3Zneh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http://www.garant.ru/news/1272908/#ixzz5oPD3Zneh</w:t>
        </w:r>
      </w:hyperlink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С 1 октября изменятся правила планирования закупок в </w:t>
      </w:r>
      <w:proofErr w:type="gramStart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соответствии</w:t>
      </w:r>
      <w:proofErr w:type="gramEnd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 с Законом № 44-ФЗ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мая 2019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изложена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ст. 16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– Закон № 44-ФЗ), согласно которой планирование закупок осуществляется заказчиками посредством формирования плана-графика. Ведение плана закупок отменяется. Статья 17 и ст. 21 Закона № 44-ФЗ утратят силу (Федеральный закон от 1 мая 2019 г. № 71-ФЗ).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План-график формируется на срок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фондов, закона субъекта РФ о бюджете субъекта РФ, законов субъекта РФ о бюджетах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Внесение изменений в план-график может осуществляться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1 день до дня размещения в ЕИС извещения об осуществлении закупки или направления приглашения принять участие в определении контрагента закрытым способом либо в случае заключения контракта с единственным контрагентом – не позднее чем за 1 день до дня заключения контракта. Планирование закупок на 2019 год </w:t>
      </w:r>
      <w:r>
        <w:rPr>
          <w:rFonts w:ascii="Times New Roman" w:hAnsi="Times New Roman" w:cs="Times New Roman"/>
          <w:sz w:val="26"/>
          <w:szCs w:val="26"/>
        </w:rPr>
        <w:lastRenderedPageBreak/>
        <w:t>осуществляется по старым правилам. Однако норму о сроках внесения изменений в план-график заказчики могут применять уже с 1 июля 2019 года.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изменения вступают в силу 1 октября 2019 года.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У: </w:t>
      </w:r>
      <w:hyperlink r:id="rId6" w:anchor="ixzz5oPHJjpos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http://www.garant.ru/news/1272819/#ixzz5oPHJjpos</w:t>
        </w:r>
      </w:hyperlink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Приняты законы о третьем этапе амнистии капиталов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мая 2019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официальном сайте Госдумы сообщается о принятии в окончательном чтении трех законов, продлевающих до 1 марта 2020 года амнистию капиталов. С 1 июня этого года по 29 февраля следующего года в течение третьего этапа физлица смогут добровольно декларировать активы и счета в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банках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сохранением всех гарантий. Однако нужно будет произвести репатриацию денежных средств и зарегистрировать подконтрольные иностранные компании в специальных административных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Калининградской области и Приморском крае.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из принятых законов непосредственно продлевает срок амнистии, а второй – освобождает от НДФЛ прибыль контролируемой иностранной организации, которая учитывается при определении налоговой базы в текущем году. Это коснется контролирующих иностранные организации налогоплательщиков, которые не считались налоговыми резидентами РФ по итогам налогового периода прошлого года.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Третий закон освобождает от уголовной ответственности участников третьего этапа амнистии за налоговые нарушения, совершенные до 1 января этого года. Принятые меры создадут благоприятные условия для возврата активов в российскую юрисдикцию.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У: </w:t>
      </w:r>
      <w:hyperlink r:id="rId7" w:anchor="ixzz5oPTVDk52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http://www.garant.ru/news/1272806/#ixzz5oPTVDk52</w:t>
        </w:r>
      </w:hyperlink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Планируется перевод регионов на оплату вывоза мусора по фактическому накоплению, а не нормативу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мая 2019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Минприроды России уже подготовило соответствующее решение. Об этом сообщается на официальном сайте ведомства.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Речь идет о планируемом переводе системы оплаты за обращение с твердыми коммунальными отходами (далее – ТКО) с оплаты по нормативу на оплату из расчета фактического накопления. Такой переход запланировал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проводимой в России реформы в сфере обращения с отходами производства и потребления. В числе ее планируемых результатов также намечено создание к концу 2019 года системы раздельного сбора ТКО, при котором органические отходы будут собираться в специальные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контейнеры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утилизироваться отдельно от остального мусора. По данным Минстроя России, большинство регионов уже включились в процесс реформирования.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словам заместителя Министра природных ресурсов и экологии РФ Владимира Логинова, к началу реформы были утверждены экономически обоснованные тарифы на вывоз. Но добиться повсеместного выставления корректных нормативов накопления отходов не удалось – имели место и случаи занижения, и факты завышения нормативов, что привело к несправедливому ценообразованию на территории отдельных регионов.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Минприроды России уже подготовило для внесения в Правительство РФ решение по изменению механизма взимания платы за обращение с ТКО. "Надеюсь, к лету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оно позволит не только использовать такой подход, но и обеспечить быструю оплату по факту накопленного мусора", – подчеркнул Логинов. 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У: </w:t>
      </w:r>
      <w:hyperlink r:id="rId8" w:anchor="ixzz5oPbMGRBP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http://www.garant.ru/news/1272829/#ixzz5oPbMGRBP</w:t>
        </w:r>
      </w:hyperlink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Плата за услуги по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госрегистрации</w:t>
      </w:r>
      <w:proofErr w:type="spellEnd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 транспортного средства через специализированную организацию составит 500 руб.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мая 2019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4 августа зарегистрировать новый автомобиль можно будет не только в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подразделениях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ГИБДД, но и через специализированную организацию (к ним относятся производители т/с и дилерские организации). В этом случае плата за услуги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госрегистрации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составит 500 руб. (приказ ФА</w:t>
      </w:r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России от 12 апреля 2019 г. № 448/19).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специализированная организация передает владельцу транспортное средство с установленными на нем государственными регистрационными знаками, то услуги по изготовлению регистрационных знаков оплачиваются отдельно: 2 тыс. руб. за знак для автомобиля; 1500 руб. – за знак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мототранспортные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средства и прицепы, бумажный "Транзит" обойдется в 200 руб. Указанные тарифы не превышают текущие размеры госпошлины за совершение регистрационных действий с транспортными средствами (подп. 36 п. 1 ст. 333.33 Налогового кодекса).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У: </w:t>
      </w:r>
      <w:hyperlink r:id="rId9" w:anchor="ixzz5oPcNpvB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http://www.garant.ru/news/1272810/#ixzz5oPcNpvB0</w:t>
        </w:r>
      </w:hyperlink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Завершить разработку концепции создания нового КоАП РФ планируется к 1 июня 2019 года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мая 2019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над концепцией нового кодекса должна завершиться до 1 июня текущего года.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правительства выделил несколько приоритетных направлений работы кабинета министров. В их числе: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пятого "антимонопольного" пакета законодательства, который учитывает специфику регулирования в условиях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условий для автоматизации на транспорте;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стимулирование развития электронного гражданского оборота для обеспечения возможности гражданам решать их проблемы через мобильные приложения (в частности, обсуждается предложение использовать электронную форму голосования на выборах в органы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госвласти</w:t>
      </w:r>
      <w:proofErr w:type="spellEnd"/>
      <w:r>
        <w:rPr>
          <w:rFonts w:ascii="Times New Roman" w:hAnsi="Times New Roman" w:cs="Times New Roman"/>
          <w:sz w:val="26"/>
          <w:szCs w:val="26"/>
        </w:rPr>
        <w:t>, а также инициатива по расширению получения нотариальных услуг в удаленном доступе);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реформирование системы наследственного и семейного права (по словам Председателя Правительства РФ, с 1 июня уже вступят в силу поправки, расширяющие возможности граждан распоряжаться своим имуществом);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завершение реформы гражданского законодательства;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уровня судебной защиты при разрешении коммерческих и инвестиционных споров, включая споры между государствами и бизнесом (например, на международном уровне озвучиваются предложения о создании единого международного инвестиционного трибунала).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Дмитрий Медведев акцентировал внимание и на таком ключевом направлении деятельности правительства, как совершенствование регулирования для бизнеса. Конечная цель работы в данной области – создание благоприятных и выгодных для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предпринимателей условий. Уже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создаются специальные режимы для привлечения инвестиций и дополнительно планируется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принять закон о защите и поощрении капиталовложений (в нем государство гарантирует инвестору неизменность регуляторных условий на весь период реализации проекта, а также юридическую защиту капиталовложений и получение субсидий на создание инфраструктуры). Одновременно ведется работа по кодификации публично-правового регулирования, совершенствованию корпоративного законодательства и системы государственного контроля.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У: </w:t>
      </w:r>
      <w:hyperlink r:id="rId10" w:anchor="ixzz5oPJWOCtI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http://www.garant.ru/news/1272695/#ixzz5oPJWOCtI</w:t>
        </w:r>
      </w:hyperlink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Разработан законопроект об опытной эксплуатации инновационных транспортных средств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мая 2019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Соответствующий документ внесен в Госдуму. </w:t>
      </w:r>
      <w:proofErr w:type="gramStart"/>
      <w:r>
        <w:rPr>
          <w:rFonts w:ascii="Times New Roman" w:hAnsi="Times New Roman" w:cs="Times New Roman"/>
          <w:sz w:val="26"/>
          <w:szCs w:val="26"/>
        </w:rPr>
        <w:t>Он направлен на регулирование отношений, возникающих в связи с опытной эксплуатацией на автомобильных дорогах общего пользования инновационных транспортных средств (автомобилей, предназначенных для перевозки людей, грузов или оборудования, в которых применены новые конструктивные решения и которые не могут быть оценены по действующим документам стандартизации), включая высокоавтоматизированные транспортные средства (инновационные транспортные средства, оснащенные автоматизированной системой вождения).</w:t>
      </w:r>
      <w:proofErr w:type="gramEnd"/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частности, предлагается закрепить в законе: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определения основных понятий;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принципы опытной эксплуатации инновационных транспортных средств (в числе которых – приоритет безопасности жизни и здоровья граждан над экономическими и исследовательскими результатами опытной эксплуатации, создание условий для развития инновационных технологий в сфере транспорта, подконтрольность опытной эксплуатации уполномоченным органам, равный доступ граждан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юрлиц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 проведению опытной эксплуатации);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осуществления опытной эксплуатации инновационных транспортных средств.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планируется прописать специальные требования к безопасности указанных автомобилей. Что касается инновационного транспортного средства, то оно должно быть оборудовано аппаратно-программным комплексом, предотвращающим неправомерный доступ или воздействие на него, а также техническим средством непрерывной некорректируемой регистрации, сбора, хранения данных о движении (включая сведения о местонахождении, скорости и маршруте движения). А высокоавтоматизированное транспортное средство – системой, позволяющий немедленно отключить автоматическую систему вождения и принять на себя управление транспортным средством, а также техническим средством отслеживания данных о состоянии автоматической системы вождения в любой момент времени, в т. ч. о вмешательстве водителя, оператора или третьих лиц в процесс управления.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ответственность за обеспечение физической и информационной безопасности инновационных транспортных средств в процессе их опытной эксплуатации возлагается на собственника транспортного средства.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Сопутствующие корректировки планируется внести в некоторые действующие федеральные законы (Федеральный закон от 10 декабря 1995 г. № 196-ФЗ "О </w:t>
      </w:r>
      <w:r>
        <w:rPr>
          <w:rFonts w:ascii="Times New Roman" w:hAnsi="Times New Roman" w:cs="Times New Roman"/>
          <w:sz w:val="26"/>
          <w:szCs w:val="26"/>
        </w:rPr>
        <w:lastRenderedPageBreak/>
        <w:t>безопасности дорожного движения", Федеральный закон от 29 декабря 2017 г. № 443-ФЗ "Об организации дорожного движения в Российской Федерации и о внесении изменений в отдельные законодательные акты Российской Федерации", Федеральный закон от 9 февраля 2007 г. № 16-ФЗ "О транспортной безопасности").</w:t>
      </w:r>
      <w:proofErr w:type="gramEnd"/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Детальное правовое регулирование в указанной сфере позволит устранить законодательные барьеры и создать благоприятные условия для опытной эксплуатации высокоавтоматизированных (инновационных) транспортных средств.   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У: </w:t>
      </w:r>
      <w:hyperlink r:id="rId11" w:anchor="ixzz5oPeJtQtD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http://www.garant.ru/news/1272710/#ixzz5oPeJtQtD</w:t>
        </w:r>
      </w:hyperlink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В регионах и муниципалитетах могут появиться межведомственные комиссии по вопросам организации отдыха детей и их оздоровления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мая 2019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Возможность создания таких комиссий по решению органов исполнительной власти субъектов РФ или органов местного самоуправления предусмотрена законопроектом, который сегодня внесла в Госдуму депутат Ирина Яровая.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Документом определены возможные полномочия межведомственных комиссий по вопросам организации отдыха детей и их оздоровления. В их числе: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согласованных действий и взаимодействия заинтересованных органов и организаций;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рекомендаций для организаций отдыха детей и их оздоровления по вопросам организации отдыха и оздоровления детей на территории субъекта РФ;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информационно-разъяснительной работы с руководителями организаций отдыха и оздоровления детей, в т. ч. в форме ежегодных семинаров;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результатов оздоровительной кампании детей по итогам летнего периода времени и по итогам года.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рамках работы комиссий планируется скоординировать деятельность не только представителей органов законодательной и исполнительной власти регионов, но и территориальных органов в сфере управления образования, надзора за соблюдением трудового законодательства, в области защиты прав потребителей, федерального государственного санитарно-эпидемиологического, пожарного надзора, госконтроля качества и безопасности медицинской деятельности и т. п. Включать в состав комиссий предлагается и представителей региональной общественной палаты и иных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общественных объединений.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 инициативы считает, что принятие законопроекта будет способствовать повышению уровня безопасности, а также качества услуг, предоставляемых организациями отдыха и оздоровления детей.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У: </w:t>
      </w:r>
      <w:hyperlink r:id="rId12" w:anchor="ixzz5oPaOZUmX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http://www.garant.ru/news/1272787/#ixzz5oPaOZUmX</w:t>
        </w:r>
      </w:hyperlink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Законопроект об ужесточении уголовной ответственности за вождение в нетрезвом виде принят в первом чтении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мая 2019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 был внесен в Госдуму в </w:t>
      </w:r>
      <w:proofErr w:type="gramStart"/>
      <w:r>
        <w:rPr>
          <w:rFonts w:ascii="Times New Roman" w:hAnsi="Times New Roman" w:cs="Times New Roman"/>
          <w:sz w:val="26"/>
          <w:szCs w:val="26"/>
        </w:rPr>
        <w:t>апреле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текущего года, а 14 мая – одобрен в первом чтении. Предлагаемые им поправки носят не столько карательный, сколько профилактический характер.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законопроекту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причинения тяжкого вреда здоровью в результате ДТП по вине нетрезвого водителя планируется применять наказание в виде лишения свободы на срок от трех до семи лет.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Если в ДТП, совершенном по вине </w:t>
      </w:r>
      <w:r>
        <w:rPr>
          <w:rFonts w:ascii="Times New Roman" w:hAnsi="Times New Roman" w:cs="Times New Roman"/>
          <w:sz w:val="26"/>
          <w:szCs w:val="26"/>
        </w:rPr>
        <w:lastRenderedPageBreak/>
        <w:t>пьяного водителя, погибнет один человек, то наказание составит от 5 до 12 лет лишения свободы, а если два и более человек – от 8 до 15 лет.</w:t>
      </w:r>
      <w:proofErr w:type="gramEnd"/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У: </w:t>
      </w:r>
      <w:hyperlink r:id="rId13" w:anchor="ixzz5oPf8GVbv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http://www.garant.ru/news/1272557/#ixzz5oPf8GVbv</w:t>
        </w:r>
      </w:hyperlink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ФНС России планирует предоставлять услуги "под ключ" через свой единый контакт-центр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мая 2019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ближайшие два года ФНС России планирует развивать свой единый контакт-центр: персонализировать обслуживание, а также предоставлять заявителям услуги "под ключ" в кратчайший срок. Последнее означает, что налогоплательщики смогут получить через этот сервис не только общие сведения, но и дополнительную информацию, в частности, о состоянии своего лицевого счета, а также о суммах начисленных и уплаченных налогов. Об этом сообщил заместитель руководителя ФНС России Дмитрий Григоренко в ходе семинара Европейской организации налоговых администраций. Получить необходимую им информацию налогоплательщики могут круглосуточно по единому федеральному номеру: +7 (800) 222-22-22.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ФНС России доработала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онлайн-сервис "Узнать о жалобе". Теперь у пользователей есть дополнительная возможность выяснить ход и результаты рассмотрения обращений, которые направлены в межрегиональные инспекции по крупнейшим налогоплательщикам. К концу этого года налоговая служба собирается запустить Реестр рисков – комплексную систему, позволяющую создавать модели оценки, а также отраслевые карты для своевременного информирования налогоплательщиков о возможных рисках.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У: </w:t>
      </w:r>
      <w:hyperlink r:id="rId14" w:anchor="ixzz5oPVRWMZH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http://www.garant.ru/news/1272683/#ixzz5oPVRWMZH</w:t>
        </w:r>
      </w:hyperlink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Новый неналоговый платеж: с 1 июля за коды маркировки товаров будут взимать плату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мая 2019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 плата за оказание услуг по предоставлению кодов маркировки, необходимых для формирования средств идентификации и обеспечения мониторинга движения товаров, подлежащих обязательной маркировке, для участника оборота таких товаров в размере 50 копеек за 1 код маркировки без учета НДС. Исключение – предоставление кодов маркировки для лекарственных препаратов, включенных в перечень ЖНВЛП, предельная отпускная цена которых не превышает 20 руб. Такие лекарства маркируются кодами бесплатно (постановление Правительства РФ от 8 мая 2019 г. № 577).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вступает в силу 21 мая 2019 года.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У: </w:t>
      </w:r>
      <w:hyperlink r:id="rId15" w:anchor="ixzz5oPW456bE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http://www.garant.ru/news/1272582/#ixzz5oPW456bE</w:t>
        </w:r>
      </w:hyperlink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Госпошлину за выдачу вида на жительство хотят повысить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мая 2019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Правительство РФ внесло в Госдуму законопроект, в случае одобрения которого госпошлина за выдачу либо продление срока действия вида на жительство иностранному гражданину или лицу без гражданства составит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 тыс. руб. В настоящее время ее размер равен 3,5 тыс. руб. (подп. 18 п. 1 ст. 333.28 Налогового кодекса).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Предлагаемая корректировка связана с другим проектом, которое правительство тоже сегодня внесло в нижнюю палату парламента. Им предлагается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прочего ввести категорию бессрочного вида на жительство. Однако исключением станут случаи выдачи такого документа высококвалифицированным специалистам и членам их семей, они получат вид на жительство на срок действия разрешения на работу, а также квалифицированным специалистам, которым его предоставят на три года. В рамках того же проекта планируется упростить порядок выдачи иностранцам и апатридам, владеющим русским языком и желающим жить и работать в нашей стране, разрешений на временное пребывание и видов на жительство.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У: </w:t>
      </w:r>
      <w:hyperlink r:id="rId16" w:anchor="ixzz5oPXKdAtA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http://www.garant.ru/news/1272579/#ixzz5oPXKdAtA</w:t>
        </w:r>
      </w:hyperlink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Готовится пакет поправок, направленных на развитие цифровой экономики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мая 2019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Речь идет о законопроектах, касающихся оборота персональных данных, использования электронной подписи, введения понятия электронного цифрового профиля гражданина и электронных трудовых книжек. В </w:t>
      </w:r>
      <w:proofErr w:type="gramStart"/>
      <w:r>
        <w:rPr>
          <w:rFonts w:ascii="Times New Roman" w:hAnsi="Times New Roman" w:cs="Times New Roman"/>
          <w:sz w:val="26"/>
          <w:szCs w:val="26"/>
        </w:rPr>
        <w:t>ближайшее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время документы планируется внести в Госдуму. 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законопроект направлен на создание новых возможностей для использования и обращения информации в интересах бизнеса, потребителей, общества и государства в целом. Им, в частности, вводится понятие "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анонимизации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персональных данных" и предусматривается свободная обработка информации, не позволяющей определить ее принадлежность к конкретному лицу.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расширения спектра потенциальных услуг, доступных для граждан, планируется разрешить субъекту представлять оператору согласие на обработку персональных данных, ранее собранных для иных целей.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Также может быть исключена необходимость получения согласия на обработку персональных данных в сферах отношений, связанных с трудовыми (например, оформление командировок, обеспечение пропускного режима, направление на обучение).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числе нововведений – и законодательное закрепление возможности выдачи согласия на обработку персональных данных дистанционно в электронной форме (с использованием электронной почты и смс-сообщений).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Другие инициативы касаются: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установления единого требования к универсальной усиленной квалифицированной электронной подписи (она будет формироваться с использованием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 w:cs="Times New Roman"/>
          <w:sz w:val="26"/>
          <w:szCs w:val="26"/>
        </w:rPr>
        <w:t>иптографической защиты информации);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легализации технологии "облачной" подписи;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закрепления понятий цифрового профиля, обезличенных данных;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уточнения порядка работы с согласиями на обработку персональных данных.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Предполагается, что работники смогут выбрать между бумажными и электронными трудовыми книжками. При этом переход на новый порядок их использования будет добровольным и начнется с пилотных организаций, имеющих наибольшую численность работников. Соответствующие поправки будут способствовать снижению рисков возможной утери бумажных трудовых книжек и позволят освободить работодателей от издержек, связанных с покупкой бланков трудовых книжек, организацией их учета и хранения.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У: </w:t>
      </w:r>
      <w:hyperlink r:id="rId17" w:anchor="ixzz5oPn4s2jS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http://www.garant.ru/news/1272671/#ixzz5oPn4s2jS</w:t>
        </w:r>
      </w:hyperlink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lastRenderedPageBreak/>
        <w:t>УК МКД обязана отвечать на вопросы о квартплате и коммунальных услугах не позднее 3 рабочих дней, а просрочка является нарушением лицензионных требований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мая 2019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Минстрой России напомнил, что управляющая МКД компания обязана оперативно отвечать на обращения жителей дома, и обязанность эта является лицензионным требованием: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обращения по поводу некачественных коммунальных услуг нужно ответить в течение 3 рабочих дней после получения запроса – копиями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акта проверки/акта нарушения качества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превышения установленной продолжительности перерыва в оказании услуг, а также ответом об удовлетворении обращения либо об отказе в удовлетворении с указанием причин отказа. Сверх того, все обращения подобного рода подлежат специальному учету;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обращения по поводу расчетов квартплаты нужно ответить в те же три рабочих дня, сообщив потребителю информацию за спорный период о помесячных объемах потребленных коммунальных ресурсов по показаниям ОДПУ, суммарном объеме услуг, потребленных в жилых и нежилых помещениях в МКД, о количестве услуг, рассчитанных по нормативу потребления, об объемах коммунальных ресурсов, потребляемых в целях содержания общего имущества в МКД;</w:t>
      </w:r>
      <w:proofErr w:type="gramEnd"/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иные обращения жителя "своего" МКД нужно ответить в течение двух недель (письмо Минстроя России от 23 апреля 2019 г. № 15772-ОГ/04).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Эти сроки установлены Правилами осуществления деятельности по управлению МКД, утв. постановлением Правительства РФ от 15 мая 2013 г. № 416, а соблюдение указанных Правил – в качестве исполнения обязанностей по договору управления МКД, предусмотренных ч. 2 ст. 162 Жилищного кодекса, – является лицензионным требованием к предпринимательской деятельности по управлению МКД. А значит, несоблюдение сроков ответа является нарушением лицензионных требований к УК МКД (хотя и негрубым), и, в том числе, основанием для вынесения предписания УК со стороны органа ГЖН.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лицензионных требований может караться более строго – штрафом по ч. 2 ст. 14.1.3 КоАП, тем более что с конца марта такой штраф накладывает не суд, а главный жилищный инспектор региона или города, района.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У: </w:t>
      </w:r>
      <w:hyperlink r:id="rId18" w:anchor="ixzz5oPhGg8yI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http://www.garant.ru/news/1272393/#ixzz5oPhGg8yI</w:t>
        </w:r>
      </w:hyperlink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Не исключено, что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госзакупки</w:t>
      </w:r>
      <w:proofErr w:type="spellEnd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 услуг в сфере школьного питания будут проводиться только через конкурс с ограниченным участием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мая 2019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указанной инициативой выступили депутаты Госдумы Михаил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Шеремет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Алексей Журавлев. В случае принятия внесенного в нижнюю палату парламента законопроекта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сфере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услуг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организации питания обучающихся будут осуществляться исключительно путем проведения конкурса с ограниченным участием.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Под последним понимается конкурс, в ходе которого информация о закупке сообщается заказчиком неограниченному кругу лиц путем размещения в ЕИС извещения о его проведении и конкурсной документации, к участникам закупки предъявляются как единые, так и дополнительные требования, а победитель конкурса определяется из числа прошедших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предквалификационный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отбор (ч. 1 ст. 56 Федерального закона от 5 апреля 2013 г. № 44-ФЗ "О контрактной </w:t>
      </w:r>
      <w:r>
        <w:rPr>
          <w:rFonts w:ascii="Times New Roman" w:hAnsi="Times New Roman" w:cs="Times New Roman"/>
          <w:sz w:val="26"/>
          <w:szCs w:val="26"/>
        </w:rPr>
        <w:lastRenderedPageBreak/>
        <w:t>системе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для обеспечения государственных и муниципальных нужд", далее – Закон № 44-ФЗ).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Принятие документа обеспечит оказание услуг в сфере школьного питания исполнителями, имеющими для этого, в частности, достаточные финансовые ресурсы для исполнения контракта, материальную базу, сотрудников, обладающих соответствующей квалификацией и опытом работы. Ранее Минсельхоз России разработал проект типового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госконтракта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поставку продуктов питания.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 вчерашнего дня штрафы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госконтрактах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перестали устанавливаться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виде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фиксированной суммы, а также изменились нормы об обжаловании в административном порядке нарушений Закона № 44-ФЗ.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У: </w:t>
      </w:r>
      <w:hyperlink r:id="rId19" w:anchor="ixzz5oPNwo5M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http://www.garant.ru/news/1272131/#ixzz5oPNwo5M9</w:t>
        </w:r>
      </w:hyperlink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Ожидается, что разрешение на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автотюнинг</w:t>
      </w:r>
      <w:proofErr w:type="spellEnd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 можно будет получать через портал </w:t>
      </w:r>
      <w:proofErr w:type="spellStart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госуслуг</w:t>
      </w:r>
      <w:proofErr w:type="spellEnd"/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 мая 2019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МВД России представило для независимой антикоррупционной экспертизы и общественного обсуждения проекты двух своих административных регламентов. В случае принятия первого из них разрешение на внесение изменений в конструкцию колесных транспортных средств можно будет получить в подразделении Госавтоинспекции в течение трех рабочих дней либо через портал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дня. При этом ожидается, что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будет для водителей бесплатной и не потребует от них предъявления автомобиля.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проекту другого административного регламента ГИБДД будет проверять документы и сам автомобиль. Причем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положительного заключения автовладельцу будет выдаваться свидетельство о соответствии транспортного средства требованиям безопасности. Однако предполагается, что уже за эту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придется заплатить 800 руб.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Независимая антикоррупционная экспертиза проектов документов завершится 14 мая, а общественное обсуждение – 22 мая. Напомним, что правила тюнинга автомобилей вступят в силу 1 июня. А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ними для изменения конструкции транспортного средства потребуется разрешение Госавтоинспекции.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У: </w:t>
      </w:r>
      <w:hyperlink r:id="rId20" w:anchor="ixzz5oPfOgOzQ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http://www.garant.ru/news/1272132/#ixzz5oPfOgOzQ</w:t>
        </w:r>
      </w:hyperlink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Судебные приставы начнут искать должников и в </w:t>
      </w:r>
      <w:proofErr w:type="gramStart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>странах</w:t>
      </w:r>
      <w:proofErr w:type="gramEnd"/>
      <w:r>
        <w:rPr>
          <w:rFonts w:ascii="Times New Roman" w:hAnsi="Times New Roman" w:cs="Times New Roman"/>
          <w:b/>
          <w:bCs/>
          <w:color w:val="7030A0"/>
          <w:sz w:val="26"/>
          <w:szCs w:val="26"/>
          <w:u w:val="single"/>
        </w:rPr>
        <w:t xml:space="preserve"> СНГ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 мая 2019 года вступили в силу изменения в Федеральный закон от 21 июля 1997 г. № 118-ФЗ "О судебных приставах", далее – закон о судебных приставах (Федеральный закон от 1 мая 2019 г. № 97-ФЗ).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Поправками на судебных приставов возложена задача по межгосударственному розыску лиц, осуществляемому в соответствии с международными договорами Российской Федерации, и, соответственно, расширены полномочия главного судебного пристава РФ, главного судебного пристава субъекта (субъектов) РФ, старшего судебного пристава и судебного пристава-исполнителя.</w:t>
      </w:r>
      <w:proofErr w:type="gramEnd"/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частности, судебные приставы-исполнители при производстве межгосударственного розыска лиц в соответствии с международными договорами РФ смогут запрашивать из банков данных оперативно-справочной,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разыскной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информации и обрабатывать персональные данные, в том числе сведения о лицах и об их имуществе, опрашивать граждан, наводить справки, изучать документы, осматривать имущество, обследовать помещения, здания, сооружения, </w:t>
      </w:r>
      <w:r>
        <w:rPr>
          <w:rFonts w:ascii="Times New Roman" w:hAnsi="Times New Roman" w:cs="Times New Roman"/>
          <w:sz w:val="26"/>
          <w:szCs w:val="26"/>
        </w:rPr>
        <w:lastRenderedPageBreak/>
        <w:t>транспортные средства, занимаемые разыскиваемыми лицами или принадлежащие им, проводить иные исполнительно-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разыскные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действия, предусмотренные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абз</w:t>
      </w:r>
      <w:proofErr w:type="spellEnd"/>
      <w:r>
        <w:rPr>
          <w:rFonts w:ascii="Times New Roman" w:hAnsi="Times New Roman" w:cs="Times New Roman"/>
          <w:sz w:val="26"/>
          <w:szCs w:val="26"/>
        </w:rPr>
        <w:t>. 13 п. 2 ст. 12 закона о судебных приставах.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возможность межгосударственного розыска лиц, уклоняющихся от исполнения решений судов по искам, предусматривает соответствующий Договор государств – участников Содружества Независимых Государств. Этот Договор вступил в силу для Российской Федерации 26 августа 2016 года.</w:t>
      </w: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У: </w:t>
      </w:r>
      <w:hyperlink r:id="rId21" w:anchor="ixzz5oPgAmwuQ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http://www.garant.ru/news/1272007/#ixzz5oPgAmwuQ</w:t>
        </w:r>
      </w:hyperlink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4C8" w:rsidRDefault="009454C8" w:rsidP="009454C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D35A2" w:rsidRDefault="000D35A2">
      <w:bookmarkStart w:id="0" w:name="_GoBack"/>
      <w:bookmarkEnd w:id="0"/>
    </w:p>
    <w:sectPr w:rsidR="000D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C8"/>
    <w:rsid w:val="000D35A2"/>
    <w:rsid w:val="0094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C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4C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C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4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news/1272829/" TargetMode="External"/><Relationship Id="rId13" Type="http://schemas.openxmlformats.org/officeDocument/2006/relationships/hyperlink" Target="http://www.garant.ru/news/1272557/" TargetMode="External"/><Relationship Id="rId18" Type="http://schemas.openxmlformats.org/officeDocument/2006/relationships/hyperlink" Target="http://www.garant.ru/news/127239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news/1272007/" TargetMode="External"/><Relationship Id="rId7" Type="http://schemas.openxmlformats.org/officeDocument/2006/relationships/hyperlink" Target="http://www.garant.ru/news/1272806/" TargetMode="External"/><Relationship Id="rId12" Type="http://schemas.openxmlformats.org/officeDocument/2006/relationships/hyperlink" Target="http://www.garant.ru/news/1272787/" TargetMode="External"/><Relationship Id="rId17" Type="http://schemas.openxmlformats.org/officeDocument/2006/relationships/hyperlink" Target="http://www.garant.ru/news/127267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news/1272579/" TargetMode="External"/><Relationship Id="rId20" Type="http://schemas.openxmlformats.org/officeDocument/2006/relationships/hyperlink" Target="http://www.garant.ru/news/127213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news/1272819/" TargetMode="External"/><Relationship Id="rId11" Type="http://schemas.openxmlformats.org/officeDocument/2006/relationships/hyperlink" Target="http://www.garant.ru/news/1272710/" TargetMode="External"/><Relationship Id="rId5" Type="http://schemas.openxmlformats.org/officeDocument/2006/relationships/hyperlink" Target="http://www.garant.ru/news/1272908/" TargetMode="External"/><Relationship Id="rId15" Type="http://schemas.openxmlformats.org/officeDocument/2006/relationships/hyperlink" Target="http://www.garant.ru/news/127258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news/1272695/" TargetMode="External"/><Relationship Id="rId19" Type="http://schemas.openxmlformats.org/officeDocument/2006/relationships/hyperlink" Target="http://www.garant.ru/news/12721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news/1272810/" TargetMode="External"/><Relationship Id="rId14" Type="http://schemas.openxmlformats.org/officeDocument/2006/relationships/hyperlink" Target="http://www.garant.ru/news/127268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</dc:creator>
  <cp:lastModifiedBy>Волхонская</cp:lastModifiedBy>
  <cp:revision>1</cp:revision>
  <dcterms:created xsi:type="dcterms:W3CDTF">2019-05-20T09:10:00Z</dcterms:created>
  <dcterms:modified xsi:type="dcterms:W3CDTF">2019-05-20T09:11:00Z</dcterms:modified>
</cp:coreProperties>
</file>